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819"/>
        <w:spacing w:after="0"/>
        <w:rPr>
          <w:sz w:val="20"/>
          <w:szCs w:val="20"/>
          <w:color w:val="auto"/>
        </w:rPr>
      </w:pPr>
      <w:r>
        <w:rPr>
          <w:rFonts w:ascii="Arial" w:cs="Arial" w:eastAsia="Arial" w:hAnsi="Arial"/>
          <w:sz w:val="22"/>
          <w:szCs w:val="22"/>
          <w:b w:val="1"/>
          <w:bCs w:val="1"/>
          <w:color w:val="auto"/>
        </w:rPr>
        <w:t>WASHINGTON, D.C. 20549</w:t>
      </w:r>
    </w:p>
    <w:p>
      <w:pPr>
        <w:spacing w:after="0" w:line="204" w:lineRule="exact"/>
        <w:rPr>
          <w:sz w:val="24"/>
          <w:szCs w:val="24"/>
          <w:color w:val="auto"/>
        </w:rPr>
      </w:pPr>
    </w:p>
    <w:p>
      <w:pPr>
        <w:jc w:val="center"/>
        <w:ind w:right="-819"/>
        <w:spacing w:after="0"/>
        <w:rPr>
          <w:sz w:val="20"/>
          <w:szCs w:val="20"/>
          <w:color w:val="auto"/>
        </w:rPr>
      </w:pPr>
      <w:r>
        <w:rPr>
          <w:rFonts w:ascii="Arial" w:cs="Arial" w:eastAsia="Arial" w:hAnsi="Arial"/>
          <w:sz w:val="29"/>
          <w:szCs w:val="29"/>
          <w:b w:val="1"/>
          <w:bCs w:val="1"/>
          <w:color w:val="auto"/>
        </w:rPr>
        <w:t>FORM 6-K</w:t>
      </w:r>
    </w:p>
    <w:p>
      <w:pPr>
        <w:spacing w:after="0" w:line="252"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PURSUANT TO RULE 13a-16 OR 15d-16 UNDER</w:t>
      </w:r>
    </w:p>
    <w:p>
      <w:pPr>
        <w:jc w:val="center"/>
        <w:ind w:right="-8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15" w:lineRule="exact"/>
        <w:rPr>
          <w:sz w:val="24"/>
          <w:szCs w:val="24"/>
          <w:color w:val="auto"/>
        </w:rPr>
      </w:pPr>
    </w:p>
    <w:p>
      <w:pPr>
        <w:ind w:left="4320"/>
        <w:spacing w:after="0"/>
        <w:rPr>
          <w:sz w:val="20"/>
          <w:szCs w:val="20"/>
          <w:color w:val="auto"/>
        </w:rPr>
      </w:pPr>
      <w:r>
        <w:rPr>
          <w:rFonts w:ascii="Arial" w:cs="Arial" w:eastAsia="Arial" w:hAnsi="Arial"/>
          <w:sz w:val="22"/>
          <w:szCs w:val="22"/>
          <w:color w:val="auto"/>
        </w:rPr>
        <w:t>For the month of August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2988310</wp:posOffset>
            </wp:positionH>
            <wp:positionV relativeFrom="paragraph">
              <wp:posOffset>178435</wp:posOffset>
            </wp:positionV>
            <wp:extent cx="11658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ind w:left="3980"/>
        <w:spacing w:after="0"/>
        <w:rPr>
          <w:sz w:val="20"/>
          <w:szCs w:val="20"/>
          <w:color w:val="auto"/>
        </w:rPr>
      </w:pPr>
      <w:r>
        <w:rPr>
          <w:rFonts w:ascii="Arial" w:cs="Arial" w:eastAsia="Arial" w:hAnsi="Arial"/>
          <w:sz w:val="22"/>
          <w:szCs w:val="22"/>
          <w:color w:val="auto"/>
        </w:rPr>
        <w:t>Commission File Number: 001-38328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2988310</wp:posOffset>
            </wp:positionH>
            <wp:positionV relativeFrom="paragraph">
              <wp:posOffset>170180</wp:posOffset>
            </wp:positionV>
            <wp:extent cx="11658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jc w:val="center"/>
        <w:ind w:right="-819"/>
        <w:spacing w:after="0"/>
        <w:rPr>
          <w:sz w:val="20"/>
          <w:szCs w:val="20"/>
          <w:color w:val="auto"/>
        </w:rPr>
      </w:pPr>
      <w:r>
        <w:rPr>
          <w:rFonts w:ascii="Arial" w:cs="Arial" w:eastAsia="Arial" w:hAnsi="Arial"/>
          <w:sz w:val="29"/>
          <w:szCs w:val="29"/>
          <w:b w:val="1"/>
          <w:bCs w:val="1"/>
          <w:color w:val="auto"/>
        </w:rPr>
        <w:t>LexinFintech Holdings Ltd.</w:t>
      </w:r>
    </w:p>
    <w:p>
      <w:pPr>
        <w:spacing w:after="0" w:line="258" w:lineRule="exact"/>
        <w:rPr>
          <w:sz w:val="24"/>
          <w:szCs w:val="24"/>
          <w:color w:val="auto"/>
        </w:rPr>
      </w:pPr>
    </w:p>
    <w:p>
      <w:pPr>
        <w:jc w:val="center"/>
        <w:ind w:right="-819"/>
        <w:spacing w:after="0"/>
        <w:rPr>
          <w:sz w:val="20"/>
          <w:szCs w:val="20"/>
          <w:color w:val="auto"/>
        </w:rPr>
      </w:pPr>
      <w:r>
        <w:rPr>
          <w:rFonts w:ascii="Arial" w:cs="Arial" w:eastAsia="Arial" w:hAnsi="Arial"/>
          <w:sz w:val="22"/>
          <w:szCs w:val="22"/>
          <w:color w:val="auto"/>
        </w:rPr>
        <w:t>27/F CES Tower</w:t>
      </w:r>
    </w:p>
    <w:p>
      <w:pPr>
        <w:jc w:val="center"/>
        <w:ind w:right="-819"/>
        <w:spacing w:after="0" w:line="238" w:lineRule="auto"/>
        <w:rPr>
          <w:sz w:val="20"/>
          <w:szCs w:val="20"/>
          <w:color w:val="auto"/>
        </w:rPr>
      </w:pPr>
      <w:r>
        <w:rPr>
          <w:rFonts w:ascii="Arial" w:cs="Arial" w:eastAsia="Arial" w:hAnsi="Arial"/>
          <w:sz w:val="22"/>
          <w:szCs w:val="22"/>
          <w:color w:val="auto"/>
        </w:rPr>
        <w:t>No. 3099 Keyuan South Road</w:t>
      </w:r>
    </w:p>
    <w:p>
      <w:pPr>
        <w:jc w:val="center"/>
        <w:ind w:right="-819"/>
        <w:spacing w:after="0" w:line="230" w:lineRule="auto"/>
        <w:rPr>
          <w:sz w:val="20"/>
          <w:szCs w:val="20"/>
          <w:color w:val="auto"/>
        </w:rPr>
      </w:pPr>
      <w:r>
        <w:rPr>
          <w:rFonts w:ascii="Arial" w:cs="Arial" w:eastAsia="Arial" w:hAnsi="Arial"/>
          <w:sz w:val="22"/>
          <w:szCs w:val="22"/>
          <w:color w:val="auto"/>
        </w:rPr>
        <w:t>Nanshan District, Shenzhen 518057</w:t>
      </w:r>
    </w:p>
    <w:p>
      <w:pPr>
        <w:spacing w:after="0" w:line="1" w:lineRule="exact"/>
        <w:rPr>
          <w:sz w:val="24"/>
          <w:szCs w:val="24"/>
          <w:color w:val="auto"/>
        </w:rPr>
      </w:pPr>
    </w:p>
    <w:p>
      <w:pPr>
        <w:ind w:left="4260"/>
        <w:spacing w:after="0"/>
        <w:rPr>
          <w:sz w:val="20"/>
          <w:szCs w:val="20"/>
          <w:color w:val="auto"/>
        </w:rPr>
      </w:pPr>
      <w:r>
        <w:rPr>
          <w:rFonts w:ascii="Arial" w:cs="Arial" w:eastAsia="Arial" w:hAnsi="Arial"/>
          <w:sz w:val="22"/>
          <w:szCs w:val="22"/>
          <w:color w:val="auto"/>
        </w:rPr>
        <w:t>The People's Republic of China</w:t>
      </w:r>
    </w:p>
    <w:p>
      <w:pPr>
        <w:spacing w:after="0" w:line="87" w:lineRule="exact"/>
        <w:rPr>
          <w:sz w:val="24"/>
          <w:szCs w:val="24"/>
          <w:color w:val="auto"/>
        </w:rPr>
      </w:pPr>
    </w:p>
    <w:p>
      <w:pPr>
        <w:ind w:left="4200"/>
        <w:spacing w:after="0"/>
        <w:rPr>
          <w:sz w:val="20"/>
          <w:szCs w:val="20"/>
          <w:color w:val="auto"/>
        </w:rPr>
      </w:pPr>
      <w:r>
        <w:rPr>
          <w:rFonts w:ascii="Arial" w:cs="Arial" w:eastAsia="Arial" w:hAnsi="Arial"/>
          <w:sz w:val="18"/>
          <w:szCs w:val="18"/>
          <w:color w:val="auto"/>
        </w:rPr>
        <w:t>(Address of principal executive offices)</w:t>
      </w:r>
    </w:p>
    <w:p>
      <w:pPr>
        <w:spacing w:after="0" w:line="24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files or will file annual reports under cover of Form 20-F or Form 40-F.</w:t>
      </w:r>
    </w:p>
    <w:p>
      <w:pPr>
        <w:spacing w:after="0" w:line="268" w:lineRule="exact"/>
        <w:rPr>
          <w:sz w:val="24"/>
          <w:szCs w:val="24"/>
          <w:color w:val="auto"/>
        </w:rPr>
      </w:pPr>
    </w:p>
    <w:p>
      <w:pPr>
        <w:ind w:left="3220"/>
        <w:spacing w:after="0"/>
        <w:tabs>
          <w:tab w:leader="none" w:pos="4400" w:val="left"/>
          <w:tab w:leader="none" w:pos="5840" w:val="left"/>
          <w:tab w:leader="none" w:pos="7040" w:val="left"/>
        </w:tabs>
        <w:rPr>
          <w:sz w:val="20"/>
          <w:szCs w:val="20"/>
          <w:color w:val="auto"/>
        </w:rPr>
      </w:pPr>
      <w:r>
        <w:rPr>
          <w:rFonts w:ascii="Arial" w:cs="Arial" w:eastAsia="Arial" w:hAnsi="Arial"/>
          <w:sz w:val="22"/>
          <w:szCs w:val="22"/>
          <w:color w:val="auto"/>
        </w:rPr>
        <w:t>Form 20-F</w:t>
        <w:tab/>
        <w:t>___</w:t>
      </w:r>
      <w:r>
        <w:rPr>
          <w:rFonts w:ascii="Arial" w:cs="Arial" w:eastAsia="Arial" w:hAnsi="Arial"/>
          <w:sz w:val="22"/>
          <w:szCs w:val="22"/>
          <w:u w:val="single" w:color="auto"/>
          <w:color w:val="auto"/>
        </w:rPr>
        <w:t>X</w:t>
      </w:r>
      <w:r>
        <w:rPr>
          <w:rFonts w:ascii="Arial" w:cs="Arial" w:eastAsia="Arial" w:hAnsi="Arial"/>
          <w:sz w:val="22"/>
          <w:szCs w:val="22"/>
          <w:color w:val="auto"/>
        </w:rPr>
        <w:t>____</w:t>
      </w:r>
      <w:r>
        <w:rPr>
          <w:sz w:val="20"/>
          <w:szCs w:val="20"/>
          <w:color w:val="auto"/>
        </w:rPr>
        <w:tab/>
      </w:r>
      <w:r>
        <w:rPr>
          <w:rFonts w:ascii="Arial" w:cs="Arial" w:eastAsia="Arial" w:hAnsi="Arial"/>
          <w:sz w:val="22"/>
          <w:szCs w:val="22"/>
          <w:color w:val="auto"/>
        </w:rPr>
        <w:t>Form 40-F</w:t>
      </w:r>
      <w:r>
        <w:rPr>
          <w:sz w:val="20"/>
          <w:szCs w:val="20"/>
          <w:color w:val="auto"/>
        </w:rPr>
        <w:tab/>
      </w:r>
      <w:r>
        <w:rPr>
          <w:rFonts w:ascii="Arial" w:cs="Arial" w:eastAsia="Arial" w:hAnsi="Arial"/>
          <w:sz w:val="19"/>
          <w:szCs w:val="19"/>
          <w:color w:val="auto"/>
        </w:rPr>
        <w:t>_________</w:t>
      </w:r>
    </w:p>
    <w:p>
      <w:pPr>
        <w:spacing w:after="0" w:line="200" w:lineRule="exact"/>
        <w:rPr>
          <w:sz w:val="24"/>
          <w:szCs w:val="24"/>
          <w:color w:val="auto"/>
        </w:rPr>
      </w:pPr>
    </w:p>
    <w:p>
      <w:pPr>
        <w:spacing w:after="0" w:line="276"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if the registrant is submitting the Form 6-K in paper as permitted by Regulation S-T Rule 101(b)</w:t>
      </w:r>
    </w:p>
    <w:p>
      <w:pPr>
        <w:spacing w:after="0" w:line="43" w:lineRule="exact"/>
        <w:rPr>
          <w:sz w:val="24"/>
          <w:szCs w:val="24"/>
          <w:color w:val="auto"/>
        </w:rPr>
      </w:pPr>
    </w:p>
    <w:p>
      <w:pPr>
        <w:spacing w:after="0"/>
        <w:rPr>
          <w:sz w:val="20"/>
          <w:szCs w:val="20"/>
          <w:color w:val="auto"/>
        </w:rPr>
      </w:pPr>
      <w:r>
        <w:rPr>
          <w:rFonts w:ascii="Arial" w:cs="Arial" w:eastAsia="Arial" w:hAnsi="Arial"/>
          <w:sz w:val="22"/>
          <w:szCs w:val="22"/>
          <w:color w:val="auto"/>
        </w:rPr>
        <w:t>(1):________________</w:t>
      </w:r>
    </w:p>
    <w:p>
      <w:pPr>
        <w:spacing w:after="0" w:line="21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if the registrant is submitting the Form 6-K in paper as permitted by Regulation S-T Rule 101(b)</w:t>
      </w:r>
    </w:p>
    <w:p>
      <w:pPr>
        <w:spacing w:after="0" w:line="43" w:lineRule="exact"/>
        <w:rPr>
          <w:sz w:val="24"/>
          <w:szCs w:val="24"/>
          <w:color w:val="auto"/>
        </w:rPr>
      </w:pPr>
    </w:p>
    <w:p>
      <w:pPr>
        <w:spacing w:after="0"/>
        <w:rPr>
          <w:sz w:val="20"/>
          <w:szCs w:val="20"/>
          <w:color w:val="auto"/>
        </w:rPr>
      </w:pPr>
      <w:r>
        <w:rPr>
          <w:rFonts w:ascii="Arial" w:cs="Arial" w:eastAsia="Arial" w:hAnsi="Arial"/>
          <w:sz w:val="22"/>
          <w:szCs w:val="22"/>
          <w:color w:val="auto"/>
        </w:rPr>
        <w:t>(7):________________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831850</wp:posOffset>
            </wp:positionV>
            <wp:extent cx="71748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420"/>
          </w:cols>
          <w:pgMar w:left="320" w:top="693" w:right="1159" w:bottom="1440" w:gutter="0" w:footer="0" w:header="0"/>
        </w:sectPr>
      </w:pPr>
    </w:p>
    <w:bookmarkStart w:id="1" w:name="page2"/>
    <w:bookmarkEnd w:id="1"/>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212"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96" w:lineRule="exact"/>
        <w:rPr>
          <w:sz w:val="20"/>
          <w:szCs w:val="20"/>
          <w:color w:val="auto"/>
        </w:rPr>
      </w:pPr>
    </w:p>
    <w:p>
      <w:pPr>
        <w:ind w:left="6280"/>
        <w:spacing w:after="0"/>
        <w:rPr>
          <w:sz w:val="20"/>
          <w:szCs w:val="20"/>
          <w:color w:val="auto"/>
        </w:rPr>
      </w:pPr>
      <w:r>
        <w:rPr>
          <w:rFonts w:ascii="Arial" w:cs="Arial" w:eastAsia="Arial" w:hAnsi="Arial"/>
          <w:sz w:val="22"/>
          <w:szCs w:val="22"/>
          <w:b w:val="1"/>
          <w:bCs w:val="1"/>
          <w:color w:val="auto"/>
        </w:rPr>
        <w:t>LexinFintech Holdings Ltd.</w:t>
      </w:r>
    </w:p>
    <w:p>
      <w:pPr>
        <w:spacing w:after="0" w:line="239" w:lineRule="exact"/>
        <w:rPr>
          <w:sz w:val="20"/>
          <w:szCs w:val="20"/>
          <w:color w:val="auto"/>
        </w:rPr>
      </w:pPr>
    </w:p>
    <w:tbl>
      <w:tblPr>
        <w:tblLayout w:type="fixed"/>
        <w:tblInd w:w="6400" w:type="dxa"/>
        <w:tblCellMar>
          <w:top w:w="0" w:type="dxa"/>
          <w:left w:w="0" w:type="dxa"/>
          <w:bottom w:w="0" w:type="dxa"/>
          <w:right w:w="0" w:type="dxa"/>
        </w:tblCellMar>
      </w:tblPr>
      <w:tr>
        <w:trPr>
          <w:trHeight w:val="274"/>
        </w:trPr>
        <w:tc>
          <w:tcPr>
            <w:tcW w:w="1160" w:type="dxa"/>
            <w:vAlign w:val="bottom"/>
          </w:tcPr>
          <w:p>
            <w:pPr>
              <w:spacing w:after="0"/>
              <w:rPr>
                <w:sz w:val="20"/>
                <w:szCs w:val="20"/>
                <w:color w:val="auto"/>
              </w:rPr>
            </w:pPr>
            <w:r>
              <w:rPr>
                <w:rFonts w:ascii="Arial" w:cs="Arial" w:eastAsia="Arial" w:hAnsi="Arial"/>
                <w:sz w:val="22"/>
                <w:szCs w:val="22"/>
                <w:color w:val="auto"/>
              </w:rPr>
              <w:t>By</w:t>
            </w:r>
          </w:p>
        </w:tc>
        <w:tc>
          <w:tcPr>
            <w:tcW w:w="35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Jay Wenjie Xiao</w:t>
            </w:r>
          </w:p>
        </w:tc>
      </w:tr>
      <w:tr>
        <w:trPr>
          <w:trHeight w:val="219"/>
        </w:trPr>
        <w:tc>
          <w:tcPr>
            <w:tcW w:w="1160" w:type="dxa"/>
            <w:vAlign w:val="bottom"/>
          </w:tcPr>
          <w:p>
            <w:pPr>
              <w:spacing w:after="0" w:line="219" w:lineRule="exact"/>
              <w:rPr>
                <w:sz w:val="20"/>
                <w:szCs w:val="20"/>
                <w:color w:val="auto"/>
              </w:rPr>
            </w:pPr>
            <w:r>
              <w:rPr>
                <w:rFonts w:ascii="Arial" w:cs="Arial" w:eastAsia="Arial" w:hAnsi="Arial"/>
                <w:sz w:val="22"/>
                <w:szCs w:val="22"/>
                <w:color w:val="auto"/>
              </w:rPr>
              <w:t>Name:</w:t>
            </w:r>
          </w:p>
        </w:tc>
        <w:tc>
          <w:tcPr>
            <w:tcW w:w="3540" w:type="dxa"/>
            <w:vAlign w:val="bottom"/>
          </w:tcPr>
          <w:p>
            <w:pPr>
              <w:spacing w:after="0" w:line="219" w:lineRule="exact"/>
              <w:rPr>
                <w:sz w:val="20"/>
                <w:szCs w:val="20"/>
                <w:color w:val="auto"/>
              </w:rPr>
            </w:pPr>
            <w:r>
              <w:rPr>
                <w:rFonts w:ascii="Arial" w:cs="Arial" w:eastAsia="Arial" w:hAnsi="Arial"/>
                <w:sz w:val="22"/>
                <w:szCs w:val="22"/>
                <w:color w:val="auto"/>
              </w:rPr>
              <w:t>Jay Wenjie Xiao</w:t>
            </w: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rPr>
              <w:t>Title:</w:t>
            </w:r>
          </w:p>
        </w:tc>
        <w:tc>
          <w:tcPr>
            <w:tcW w:w="3540" w:type="dxa"/>
            <w:vAlign w:val="bottom"/>
          </w:tcPr>
          <w:p>
            <w:pPr>
              <w:spacing w:after="0"/>
              <w:rPr>
                <w:sz w:val="20"/>
                <w:szCs w:val="20"/>
                <w:color w:val="auto"/>
              </w:rPr>
            </w:pPr>
            <w:r>
              <w:rPr>
                <w:rFonts w:ascii="Arial" w:cs="Arial" w:eastAsia="Arial" w:hAnsi="Arial"/>
                <w:sz w:val="22"/>
                <w:szCs w:val="22"/>
                <w:color w:val="auto"/>
                <w:w w:val="95"/>
              </w:rPr>
              <w:t>Chairman and Chief Executive Officer</w:t>
            </w:r>
          </w:p>
        </w:tc>
      </w:tr>
    </w:tbl>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color w:val="auto"/>
        </w:rPr>
        <w:t>Date: August 25,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346075</wp:posOffset>
            </wp:positionV>
            <wp:extent cx="71748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544" w:right="419" w:bottom="1440" w:gutter="0" w:footer="0" w:header="0"/>
        </w:sectPr>
      </w:pPr>
    </w:p>
    <w:bookmarkStart w:id="2" w:name="page3"/>
    <w:bookmarkEnd w:id="2"/>
    <w:p>
      <w:pPr>
        <w:jc w:val="right"/>
        <w:ind w:right="3919"/>
        <w:spacing w:after="0"/>
        <w:rPr>
          <w:sz w:val="20"/>
          <w:szCs w:val="20"/>
          <w:color w:val="auto"/>
        </w:rPr>
      </w:pPr>
      <w:r>
        <w:rPr>
          <w:rFonts w:ascii="Arial" w:cs="Arial" w:eastAsia="Arial" w:hAnsi="Arial"/>
          <w:sz w:val="22"/>
          <w:szCs w:val="22"/>
          <w:u w:val="single" w:color="auto"/>
          <w:color w:val="auto"/>
        </w:rPr>
        <w:t>Exhibit Index</w:t>
      </w:r>
    </w:p>
    <w:p>
      <w:pPr>
        <w:spacing w:after="0" w:line="206"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Exhibit 99.1—Press Release</w:t>
        </w:r>
      </w:hyperlink>
    </w:p>
    <w:p>
      <w:pPr>
        <w:sectPr>
          <w:pgSz w:w="11900" w:h="16838" w:orient="portrait"/>
          <w:cols w:equalWidth="0" w:num="1">
            <w:col w:w="10139"/>
          </w:cols>
          <w:pgMar w:left="320" w:top="550"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LexinFintech Holdings Ltd. Reports Second Quarter 2021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Financial Results</w:t>
      </w:r>
    </w:p>
    <w:p>
      <w:pPr>
        <w:spacing w:after="0" w:line="211"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SHENZHEN, China, Aug. 25, 2021 (GLOBE NEWSWIRE)</w:t>
      </w:r>
      <w:r>
        <w:rPr>
          <w:rFonts w:ascii="Arial" w:cs="Arial" w:eastAsia="Arial" w:hAnsi="Arial"/>
          <w:sz w:val="18"/>
          <w:szCs w:val="18"/>
          <w:color w:val="EEEEEE"/>
        </w:rPr>
        <w:t>/</w:t>
      </w:r>
      <w:r>
        <w:rPr>
          <w:rFonts w:ascii="Arial" w:cs="Arial" w:eastAsia="Arial" w:hAnsi="Arial"/>
          <w:sz w:val="18"/>
          <w:szCs w:val="18"/>
          <w:color w:val="auto"/>
        </w:rPr>
        <w:t>-- LexinFintech Holdings Ltd. (“Lexin” or the “Company”) (NASDAQ: LX), a leading online consumption and finance platform for new generation consumers and users in China, today announced its unaudited financial results for the quarter ended June 30, 2021.</w:t>
      </w:r>
    </w:p>
    <w:p>
      <w:pPr>
        <w:spacing w:after="0" w:line="18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are pleased to announce a quarter where key financial metrics</w:t>
      </w:r>
      <w:r>
        <w:rPr>
          <w:rFonts w:ascii="Arial" w:cs="Arial" w:eastAsia="Arial" w:hAnsi="Arial"/>
          <w:sz w:val="15"/>
          <w:szCs w:val="15"/>
          <w:color w:val="auto"/>
        </w:rPr>
        <w:t>1</w:t>
      </w:r>
      <w:r>
        <w:rPr>
          <w:rFonts w:ascii="Arial" w:cs="Arial" w:eastAsia="Arial" w:hAnsi="Arial"/>
          <w:sz w:val="18"/>
          <w:szCs w:val="18"/>
          <w:color w:val="auto"/>
        </w:rPr>
        <w:t xml:space="preserve"> scaled new highs. Number of active users rose 24% year over year to 8.4 million, driving up loan origination by 47.6% to RMB60.6 billion. Total loan outstanding also achieved an all-time record, rising 46.2% year over year to RMB90.5 billion,” said Mr. Jay Wenjie Xiao, Lexin’s chairman and chief executive officer. “But it’s no time to stay content and complacent. Recent regulatory changes have sought to reshape the operating environment of financial institutions and their technology partners. We have decided therefore to lower full year guidance on total loan originations to RMB230 billion from RMB240-250 billion .”</w:t>
      </w:r>
    </w:p>
    <w:p>
      <w:pPr>
        <w:spacing w:after="0" w:line="18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will slow down our pace, and step up the focus on asset quality and profitability of our business model. We have been making adjustments to our business, to ensure compliance as well as to further strengthen customer acquisition, funding structure, operations and risk management. Any impact will be transitory and manageable,” continued Mr. Xiao. “At the same time, we will also continue to build up Lexin’s capability in serving China's new generation consumers and tapping into new growth opportunities.”</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credit quality has remained stable for new loan originations,” said Mr. Jayden Yang Qiao, Lexin’s chief risk officer. “Our vintage charge-off rates</w:t>
      </w:r>
      <w:r>
        <w:rPr>
          <w:rFonts w:ascii="Arial" w:cs="Arial" w:eastAsia="Arial" w:hAnsi="Arial"/>
          <w:sz w:val="15"/>
          <w:szCs w:val="15"/>
          <w:color w:val="auto"/>
        </w:rPr>
        <w:t>2</w:t>
      </w:r>
      <w:r>
        <w:rPr>
          <w:rFonts w:ascii="Arial" w:cs="Arial" w:eastAsia="Arial" w:hAnsi="Arial"/>
          <w:sz w:val="18"/>
          <w:szCs w:val="18"/>
          <w:color w:val="auto"/>
        </w:rPr>
        <w:t xml:space="preserve"> for the loans originated during the latest 12 months were estimated to be around 3.5% and 90 day+ delinquency ratio</w:t>
      </w:r>
      <w:r>
        <w:rPr>
          <w:rFonts w:ascii="Arial" w:cs="Arial" w:eastAsia="Arial" w:hAnsi="Arial"/>
          <w:sz w:val="15"/>
          <w:szCs w:val="15"/>
          <w:color w:val="auto"/>
        </w:rPr>
        <w:t>3</w:t>
      </w:r>
      <w:r>
        <w:rPr>
          <w:rFonts w:ascii="Arial" w:cs="Arial" w:eastAsia="Arial" w:hAnsi="Arial"/>
          <w:sz w:val="18"/>
          <w:szCs w:val="18"/>
          <w:color w:val="auto"/>
        </w:rPr>
        <w:t xml:space="preserve"> was 1.85% as of June 2021. In addition, as you can see from the graphs disclosed with our latest earnings release, our first payment default rate (30 day+)</w:t>
      </w:r>
      <w:r>
        <w:rPr>
          <w:rFonts w:ascii="Arial" w:cs="Arial" w:eastAsia="Arial" w:hAnsi="Arial"/>
          <w:sz w:val="15"/>
          <w:szCs w:val="15"/>
          <w:color w:val="auto"/>
        </w:rPr>
        <w:t>4</w:t>
      </w:r>
      <w:r>
        <w:rPr>
          <w:rFonts w:ascii="Arial" w:cs="Arial" w:eastAsia="Arial" w:hAnsi="Arial"/>
          <w:sz w:val="18"/>
          <w:szCs w:val="18"/>
          <w:color w:val="auto"/>
        </w:rPr>
        <w:t xml:space="preserve"> for new loan originations have stayed well under 1%.”</w:t>
      </w:r>
    </w:p>
    <w:p>
      <w:pPr>
        <w:spacing w:after="0" w:line="18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are proud of our performance in the second quarter,” said Kris Qian Qiao, Lexin’s acting chief financial officer. “Total operating revenue rose 10.5% to RMB3.3 billion, setting a record level. Net income reached an all-time high as well, increasing by 87.7% to RMB787 million. The results reflect our prudent risk management and cost management. Refining risk strategy and improving operational efficiency remain our top goals. They will steer Lexin through any market uncertainties.”</w:t>
      </w:r>
    </w:p>
    <w:p>
      <w:pPr>
        <w:spacing w:after="0" w:line="191" w:lineRule="exact"/>
        <w:rPr>
          <w:sz w:val="20"/>
          <w:szCs w:val="20"/>
          <w:color w:val="auto"/>
        </w:rPr>
      </w:pPr>
    </w:p>
    <w:p>
      <w:pPr>
        <w:ind w:left="440" w:right="320" w:hanging="432"/>
        <w:spacing w:after="0" w:line="193" w:lineRule="auto"/>
        <w:tabs>
          <w:tab w:leader="none" w:pos="440" w:val="left"/>
        </w:tabs>
        <w:numPr>
          <w:ilvl w:val="0"/>
          <w:numId w:val="1"/>
        </w:numPr>
        <w:rPr>
          <w:rFonts w:ascii="Arial" w:cs="Arial" w:eastAsia="Arial" w:hAnsi="Arial"/>
          <w:sz w:val="28"/>
          <w:szCs w:val="28"/>
          <w:i w:val="1"/>
          <w:iCs w:val="1"/>
          <w:color w:val="auto"/>
          <w:vertAlign w:val="superscript"/>
        </w:rPr>
      </w:pPr>
      <w:r>
        <w:rPr>
          <w:rFonts w:ascii="Arial" w:cs="Arial" w:eastAsia="Arial" w:hAnsi="Arial"/>
          <w:sz w:val="16"/>
          <w:szCs w:val="16"/>
          <w:i w:val="1"/>
          <w:iCs w:val="1"/>
          <w:color w:val="auto"/>
        </w:rPr>
        <w:t>Our key financial metrics refer to loan originations, total outstanding principal balance, revenue, non-GAAP EBIT, net income, adjusted net income and adjusted earnings per ADS.</w:t>
      </w:r>
    </w:p>
    <w:p>
      <w:pPr>
        <w:spacing w:after="0" w:line="214" w:lineRule="exact"/>
        <w:rPr>
          <w:sz w:val="20"/>
          <w:szCs w:val="20"/>
          <w:color w:val="auto"/>
        </w:rPr>
      </w:pPr>
    </w:p>
    <w:p>
      <w:pPr>
        <w:ind w:left="440" w:right="100" w:hanging="432"/>
        <w:spacing w:after="0" w:line="212" w:lineRule="auto"/>
        <w:tabs>
          <w:tab w:leader="none" w:pos="440" w:val="left"/>
        </w:tabs>
        <w:numPr>
          <w:ilvl w:val="0"/>
          <w:numId w:val="2"/>
        </w:numPr>
        <w:rPr>
          <w:rFonts w:ascii="Arial" w:cs="Arial" w:eastAsia="Arial" w:hAnsi="Arial"/>
          <w:sz w:val="28"/>
          <w:szCs w:val="28"/>
          <w:i w:val="1"/>
          <w:iCs w:val="1"/>
          <w:color w:val="auto"/>
          <w:vertAlign w:val="superscript"/>
        </w:rPr>
      </w:pPr>
      <w:r>
        <w:rPr>
          <w:rFonts w:ascii="Arial" w:cs="Arial" w:eastAsia="Arial" w:hAnsi="Arial"/>
          <w:sz w:val="16"/>
          <w:szCs w:val="16"/>
          <w:i w:val="1"/>
          <w:iCs w:val="1"/>
          <w:color w:val="auto"/>
        </w:rPr>
        <w:t>Vintage charge-off rate refers to, with respect to on- and off-balance sheet loans originated during a specified time period, which we refer to as a vintage, the total outstanding principal balance of the loans that are charged off during a specified period, divided by the total initial principal of the loans originated in such vintage. Please refer to vintage curve at the end of “Second Quarter 2021 Financial Results” of this press release.</w:t>
      </w:r>
    </w:p>
    <w:p>
      <w:pPr>
        <w:spacing w:after="0" w:line="210" w:lineRule="exact"/>
        <w:rPr>
          <w:sz w:val="20"/>
          <w:szCs w:val="20"/>
          <w:color w:val="auto"/>
        </w:rPr>
      </w:pPr>
    </w:p>
    <w:p>
      <w:pPr>
        <w:ind w:left="440" w:right="20" w:hanging="432"/>
        <w:spacing w:after="0" w:line="263" w:lineRule="auto"/>
        <w:tabs>
          <w:tab w:leader="none" w:pos="440" w:val="left"/>
        </w:tabs>
        <w:numPr>
          <w:ilvl w:val="0"/>
          <w:numId w:val="3"/>
        </w:numPr>
        <w:rPr>
          <w:rFonts w:ascii="Arial" w:cs="Arial" w:eastAsia="Arial" w:hAnsi="Arial"/>
          <w:sz w:val="24"/>
          <w:szCs w:val="24"/>
          <w:i w:val="1"/>
          <w:iCs w:val="1"/>
          <w:color w:val="auto"/>
          <w:vertAlign w:val="superscript"/>
        </w:rPr>
      </w:pPr>
      <w:r>
        <w:rPr>
          <w:rFonts w:ascii="Arial" w:cs="Arial" w:eastAsia="Arial" w:hAnsi="Arial"/>
          <w:sz w:val="16"/>
          <w:szCs w:val="16"/>
          <w:i w:val="1"/>
          <w:iCs w:val="1"/>
          <w:color w:val="auto"/>
        </w:rPr>
        <w:t>90 day+ delinquency ratio refers to outstanding principal balance of on- and off-balance sheet loans that were 90 to 179 calendar days past due as a percentage of the total outstanding principal balance of on- and off-balance sheet loans on our platform as of a specific date. On-balance sheet loans that were over 179 calendar days past due and charged off are not included in the delinquency rate calculation. Off-balance sheet loans that were over 179 calendar days past due are assumed charged off and not included in the delinquency rate calculation. The Company does not distinguish on the basis of the on- or off-balance sheet treatment in monitoring the credit risks of borrowers and the delinquency status of loans.</w:t>
      </w:r>
    </w:p>
    <w:p>
      <w:pPr>
        <w:spacing w:after="0" w:line="76" w:lineRule="exact"/>
        <w:rPr>
          <w:sz w:val="20"/>
          <w:szCs w:val="20"/>
          <w:color w:val="auto"/>
        </w:rPr>
      </w:pPr>
    </w:p>
    <w:p>
      <w:pPr>
        <w:ind w:left="440" w:hanging="432"/>
        <w:spacing w:after="0"/>
        <w:tabs>
          <w:tab w:leader="none" w:pos="440" w:val="left"/>
        </w:tabs>
        <w:numPr>
          <w:ilvl w:val="0"/>
          <w:numId w:val="4"/>
        </w:numPr>
        <w:rPr>
          <w:rFonts w:ascii="Arial" w:cs="Arial" w:eastAsia="Arial" w:hAnsi="Arial"/>
          <w:sz w:val="28"/>
          <w:szCs w:val="28"/>
          <w:i w:val="1"/>
          <w:iCs w:val="1"/>
          <w:color w:val="auto"/>
          <w:vertAlign w:val="superscript"/>
        </w:rPr>
      </w:pPr>
      <w:r>
        <w:rPr>
          <w:rFonts w:ascii="Arial" w:cs="Arial" w:eastAsia="Arial" w:hAnsi="Arial"/>
          <w:sz w:val="16"/>
          <w:szCs w:val="16"/>
          <w:i w:val="1"/>
          <w:iCs w:val="1"/>
          <w:color w:val="auto"/>
        </w:rPr>
        <w:t>Loan balance with first payment day past due 30+ over total loan origination.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1</w:t>
      </w:r>
      <w:r>
        <w:rPr>
          <w:rFonts w:ascii="Arial" w:cs="Arial" w:eastAsia="Arial" w:hAnsi="Arial"/>
          <w:sz w:val="16"/>
          <w:szCs w:val="16"/>
          <w:color w:val="auto"/>
        </w:rPr>
        <w:t xml:space="preserve"> of </w:t>
      </w:r>
      <w:r>
        <w:rPr>
          <w:rFonts w:ascii="Arial" w:cs="Arial" w:eastAsia="Arial" w:hAnsi="Arial"/>
          <w:sz w:val="16"/>
          <w:szCs w:val="16"/>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748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Second Quarter 2021 Operational Highlights: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User base continues to grow with active user numbers in the quarter hitting a new record high.</w:t>
      </w:r>
    </w:p>
    <w:p>
      <w:pPr>
        <w:spacing w:after="0" w:line="121" w:lineRule="exact"/>
        <w:rPr>
          <w:sz w:val="20"/>
          <w:szCs w:val="20"/>
          <w:color w:val="auto"/>
        </w:rPr>
      </w:pPr>
    </w:p>
    <w:p>
      <w:pPr>
        <w:ind w:left="580" w:hanging="572"/>
        <w:spacing w:after="0" w:line="308" w:lineRule="auto"/>
        <w:tabs>
          <w:tab w:leader="none" w:pos="5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Total number of registered users reached 144 million as of June 30, 2021, representing an increase of 50.9% from 95.3 million as of June 30, 2020; and users with credit line reached 32.9 million as of June 30, 2021, up by 45.2% from 22.7 million as of June 30, 2020.</w:t>
      </w:r>
    </w:p>
    <w:p>
      <w:pPr>
        <w:spacing w:after="0" w:line="38" w:lineRule="exact"/>
        <w:rPr>
          <w:rFonts w:ascii="Arial" w:cs="Arial" w:eastAsia="Arial" w:hAnsi="Arial"/>
          <w:sz w:val="17"/>
          <w:szCs w:val="17"/>
          <w:color w:val="auto"/>
        </w:rPr>
      </w:pPr>
    </w:p>
    <w:p>
      <w:pPr>
        <w:ind w:left="580" w:right="20" w:hanging="572"/>
        <w:spacing w:after="0" w:line="277"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Number of active users</w:t>
      </w:r>
      <w:r>
        <w:rPr>
          <w:rFonts w:ascii="Arial" w:cs="Arial" w:eastAsia="Arial" w:hAnsi="Arial"/>
          <w:sz w:val="15"/>
          <w:szCs w:val="15"/>
          <w:color w:val="auto"/>
        </w:rPr>
        <w:t>5</w:t>
      </w:r>
      <w:r>
        <w:rPr>
          <w:rFonts w:ascii="Arial" w:cs="Arial" w:eastAsia="Arial" w:hAnsi="Arial"/>
          <w:sz w:val="18"/>
          <w:szCs w:val="18"/>
          <w:color w:val="auto"/>
        </w:rPr>
        <w:t xml:space="preserve"> who used our loan products in the second quarter of 2021 reached 8.4 million, representing an increase of 24.0% from 6.8 million in the second quarter of 2020.</w:t>
      </w:r>
    </w:p>
    <w:p>
      <w:pPr>
        <w:spacing w:after="0" w:line="62" w:lineRule="exact"/>
        <w:rPr>
          <w:rFonts w:ascii="Arial" w:cs="Arial" w:eastAsia="Arial" w:hAnsi="Arial"/>
          <w:sz w:val="18"/>
          <w:szCs w:val="18"/>
          <w:color w:val="auto"/>
        </w:rPr>
      </w:pPr>
    </w:p>
    <w:p>
      <w:pPr>
        <w:ind w:left="580" w:right="40" w:hanging="572"/>
        <w:spacing w:after="0" w:line="277"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Number of new active users who used our loan products in the second quarter of 2021 was 1.7 million, representing an increase of 22.7% from 1.4 million in the second quarter of 2020.</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facilitation business sees both loan originations and outstanding principal balance of loans hitting record highs.</w:t>
      </w:r>
    </w:p>
    <w:p>
      <w:pPr>
        <w:spacing w:after="0" w:line="121" w:lineRule="exact"/>
        <w:rPr>
          <w:sz w:val="20"/>
          <w:szCs w:val="20"/>
          <w:color w:val="auto"/>
        </w:rPr>
      </w:pPr>
    </w:p>
    <w:p>
      <w:pPr>
        <w:ind w:left="580" w:right="200" w:hanging="572"/>
        <w:spacing w:after="0" w:line="277"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loan originations</w:t>
      </w:r>
      <w:r>
        <w:rPr>
          <w:rFonts w:ascii="Arial" w:cs="Arial" w:eastAsia="Arial" w:hAnsi="Arial"/>
          <w:sz w:val="15"/>
          <w:szCs w:val="15"/>
          <w:color w:val="auto"/>
        </w:rPr>
        <w:t>6</w:t>
      </w:r>
      <w:r>
        <w:rPr>
          <w:rFonts w:ascii="Arial" w:cs="Arial" w:eastAsia="Arial" w:hAnsi="Arial"/>
          <w:sz w:val="18"/>
          <w:szCs w:val="18"/>
          <w:color w:val="auto"/>
        </w:rPr>
        <w:t xml:space="preserve"> in the second quarter of 2021 reached RMB60.6 billion, representing an increase of 47.6% from RMB41.1 billion in the second quarter of 2020.</w:t>
      </w:r>
    </w:p>
    <w:p>
      <w:pPr>
        <w:spacing w:after="0" w:line="62" w:lineRule="exact"/>
        <w:rPr>
          <w:rFonts w:ascii="Arial" w:cs="Arial" w:eastAsia="Arial" w:hAnsi="Arial"/>
          <w:sz w:val="18"/>
          <w:szCs w:val="18"/>
          <w:color w:val="auto"/>
        </w:rPr>
      </w:pPr>
    </w:p>
    <w:p>
      <w:pPr>
        <w:ind w:left="580" w:right="360" w:hanging="572"/>
        <w:spacing w:after="0" w:line="277"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outstanding principal balance of loans</w:t>
      </w:r>
      <w:r>
        <w:rPr>
          <w:rFonts w:ascii="Arial" w:cs="Arial" w:eastAsia="Arial" w:hAnsi="Arial"/>
          <w:sz w:val="15"/>
          <w:szCs w:val="15"/>
          <w:color w:val="auto"/>
        </w:rPr>
        <w:t>6</w:t>
      </w:r>
      <w:r>
        <w:rPr>
          <w:rFonts w:ascii="Arial" w:cs="Arial" w:eastAsia="Arial" w:hAnsi="Arial"/>
          <w:sz w:val="18"/>
          <w:szCs w:val="18"/>
          <w:color w:val="auto"/>
        </w:rPr>
        <w:t xml:space="preserve"> reached RMB90.5 billion as of June 30, 2021, representing an increase of 46.2% from RMB61.9 billion as of June 30, 2020.</w:t>
      </w:r>
    </w:p>
    <w:p>
      <w:pPr>
        <w:spacing w:after="0" w:line="62" w:lineRule="exact"/>
        <w:rPr>
          <w:rFonts w:ascii="Arial" w:cs="Arial" w:eastAsia="Arial" w:hAnsi="Arial"/>
          <w:sz w:val="18"/>
          <w:szCs w:val="18"/>
          <w:color w:val="auto"/>
        </w:rPr>
      </w:pPr>
    </w:p>
    <w:p>
      <w:pPr>
        <w:ind w:left="580" w:right="380" w:hanging="572"/>
        <w:spacing w:after="0" w:line="277"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additional to new generation consumers, Lexin has started to expand financing services for small and micro business owners. In the second quarter, loan originations for small and micro business owners reached RMB4.0 billion.</w:t>
      </w:r>
    </w:p>
    <w:p>
      <w:pPr>
        <w:spacing w:after="0" w:line="62" w:lineRule="exact"/>
        <w:rPr>
          <w:rFonts w:ascii="Arial" w:cs="Arial" w:eastAsia="Arial" w:hAnsi="Arial"/>
          <w:sz w:val="18"/>
          <w:szCs w:val="18"/>
          <w:color w:val="auto"/>
        </w:rPr>
      </w:pPr>
    </w:p>
    <w:p>
      <w:pPr>
        <w:ind w:left="580" w:right="20" w:hanging="572"/>
        <w:spacing w:after="0" w:line="277"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orders placed on our platform in the second quarter of 2021 was 81.2 million, representing an increase of 8.9% from 74.6 million in the second quarter of 2020.</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Consumption efforts rapidly scaling up at an accelerating pace, in particular the buy-now pay-later service Maiya.</w:t>
      </w:r>
    </w:p>
    <w:p>
      <w:pPr>
        <w:spacing w:after="0" w:line="121" w:lineRule="exact"/>
        <w:rPr>
          <w:sz w:val="20"/>
          <w:szCs w:val="20"/>
          <w:color w:val="auto"/>
        </w:rPr>
      </w:pPr>
    </w:p>
    <w:p>
      <w:pPr>
        <w:ind w:left="580" w:hanging="572"/>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Maiya recorded GMV of RMB349 million in the second quarter.</w:t>
      </w:r>
    </w:p>
    <w:p>
      <w:pPr>
        <w:spacing w:after="0" w:line="117" w:lineRule="exact"/>
        <w:rPr>
          <w:rFonts w:ascii="Arial" w:cs="Arial" w:eastAsia="Arial" w:hAnsi="Arial"/>
          <w:sz w:val="18"/>
          <w:szCs w:val="18"/>
          <w:color w:val="auto"/>
        </w:rPr>
      </w:pPr>
    </w:p>
    <w:p>
      <w:pPr>
        <w:ind w:left="580" w:hanging="572"/>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Maiya has served over 618,000 users and 1,084 merchants, 84.8% of which were brick-and-mortar vendors, in the second quarter.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performance and credit quality remain stable.</w:t>
      </w:r>
    </w:p>
    <w:p>
      <w:pPr>
        <w:spacing w:after="0" w:line="121" w:lineRule="exact"/>
        <w:rPr>
          <w:sz w:val="20"/>
          <w:szCs w:val="20"/>
          <w:color w:val="auto"/>
        </w:rPr>
      </w:pPr>
    </w:p>
    <w:p>
      <w:pPr>
        <w:ind w:left="580" w:hanging="572"/>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90 day+ delinquency ratio was 1.85% as of June 30, 2021.</w:t>
      </w:r>
    </w:p>
    <w:p>
      <w:pPr>
        <w:spacing w:after="0" w:line="117" w:lineRule="exact"/>
        <w:rPr>
          <w:rFonts w:ascii="Arial" w:cs="Arial" w:eastAsia="Arial" w:hAnsi="Arial"/>
          <w:sz w:val="18"/>
          <w:szCs w:val="18"/>
          <w:color w:val="auto"/>
        </w:rPr>
      </w:pPr>
    </w:p>
    <w:p>
      <w:pPr>
        <w:ind w:left="580" w:hanging="572"/>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First payment default rate (30 day+) for new loan originations was below 1% as of June 30, 2021.</w:t>
      </w:r>
    </w:p>
    <w:p>
      <w:pPr>
        <w:spacing w:after="0" w:line="117" w:lineRule="exact"/>
        <w:rPr>
          <w:rFonts w:ascii="Arial" w:cs="Arial" w:eastAsia="Arial" w:hAnsi="Arial"/>
          <w:sz w:val="18"/>
          <w:szCs w:val="18"/>
          <w:color w:val="auto"/>
        </w:rPr>
      </w:pPr>
    </w:p>
    <w:p>
      <w:pPr>
        <w:ind w:left="580" w:hanging="572"/>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Vintage charge-off rates for the loans originated during the latest 12 months were estimated to be around 3.5% as of June 30, 2021.</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operational highlights.</w:t>
      </w:r>
    </w:p>
    <w:p>
      <w:pPr>
        <w:spacing w:after="0" w:line="121" w:lineRule="exact"/>
        <w:rPr>
          <w:sz w:val="20"/>
          <w:szCs w:val="20"/>
          <w:color w:val="auto"/>
        </w:rPr>
      </w:pPr>
    </w:p>
    <w:p>
      <w:pPr>
        <w:ind w:left="500" w:right="140" w:hanging="492"/>
        <w:spacing w:after="0" w:line="277"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weighted average tenor of loans originated on our platform in the second quarter of 2021 was approximately 11.6 months. The nominal APR</w:t>
      </w:r>
      <w:r>
        <w:rPr>
          <w:rFonts w:ascii="Arial" w:cs="Arial" w:eastAsia="Arial" w:hAnsi="Arial"/>
          <w:sz w:val="15"/>
          <w:szCs w:val="15"/>
          <w:color w:val="auto"/>
        </w:rPr>
        <w:t>7</w:t>
      </w:r>
      <w:r>
        <w:rPr>
          <w:rFonts w:ascii="Arial" w:cs="Arial" w:eastAsia="Arial" w:hAnsi="Arial"/>
          <w:sz w:val="18"/>
          <w:szCs w:val="18"/>
          <w:color w:val="auto"/>
        </w:rPr>
        <w:t xml:space="preserve"> was 15.5% for the loans originated during the second quarter of 2021.</w:t>
      </w:r>
    </w:p>
    <w:p>
      <w:pPr>
        <w:spacing w:after="0" w:line="62" w:lineRule="exact"/>
        <w:rPr>
          <w:rFonts w:ascii="Arial" w:cs="Arial" w:eastAsia="Arial" w:hAnsi="Arial"/>
          <w:sz w:val="18"/>
          <w:szCs w:val="18"/>
          <w:color w:val="auto"/>
        </w:rPr>
      </w:pPr>
    </w:p>
    <w:p>
      <w:pPr>
        <w:ind w:left="500" w:right="60" w:hanging="492"/>
        <w:spacing w:after="0" w:line="277"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GMV</w:t>
      </w:r>
      <w:r>
        <w:rPr>
          <w:rFonts w:ascii="Arial" w:cs="Arial" w:eastAsia="Arial" w:hAnsi="Arial"/>
          <w:sz w:val="15"/>
          <w:szCs w:val="15"/>
          <w:color w:val="auto"/>
        </w:rPr>
        <w:t>8</w:t>
      </w:r>
      <w:r>
        <w:rPr>
          <w:rFonts w:ascii="Arial" w:cs="Arial" w:eastAsia="Arial" w:hAnsi="Arial"/>
          <w:sz w:val="18"/>
          <w:szCs w:val="18"/>
          <w:color w:val="auto"/>
        </w:rPr>
        <w:t xml:space="preserve"> of our e-commerce channel in the second quarter of 2021 amounted to RMB1.5 billion, representing an increase of 8.2% from RMB1.4 billion in the second quarter of 2020.</w:t>
      </w:r>
    </w:p>
    <w:p>
      <w:pPr>
        <w:spacing w:after="0" w:line="175" w:lineRule="exact"/>
        <w:rPr>
          <w:sz w:val="20"/>
          <w:szCs w:val="20"/>
          <w:color w:val="auto"/>
        </w:rPr>
      </w:pPr>
    </w:p>
    <w:p>
      <w:pPr>
        <w:ind w:left="580" w:right="100" w:hanging="572"/>
        <w:spacing w:after="0" w:line="193" w:lineRule="auto"/>
        <w:tabs>
          <w:tab w:leader="none" w:pos="580" w:val="left"/>
        </w:tabs>
        <w:numPr>
          <w:ilvl w:val="0"/>
          <w:numId w:val="10"/>
        </w:numPr>
        <w:rPr>
          <w:rFonts w:ascii="Arial" w:cs="Arial" w:eastAsia="Arial" w:hAnsi="Arial"/>
          <w:sz w:val="28"/>
          <w:szCs w:val="28"/>
          <w:i w:val="1"/>
          <w:iCs w:val="1"/>
          <w:color w:val="auto"/>
          <w:vertAlign w:val="superscript"/>
        </w:rPr>
      </w:pPr>
      <w:r>
        <w:rPr>
          <w:rFonts w:ascii="Arial" w:cs="Arial" w:eastAsia="Arial" w:hAnsi="Arial"/>
          <w:sz w:val="16"/>
          <w:szCs w:val="16"/>
          <w:i w:val="1"/>
          <w:iCs w:val="1"/>
          <w:color w:val="auto"/>
        </w:rPr>
        <w:t>Active users refer to, for a specified period, users who made at least one transaction during that period through our platform or through our third-party partners’ platforms using credit line granted by us.</w:t>
      </w:r>
    </w:p>
    <w:p>
      <w:pPr>
        <w:spacing w:after="0" w:line="25" w:lineRule="exact"/>
        <w:rPr>
          <w:sz w:val="20"/>
          <w:szCs w:val="20"/>
          <w:color w:val="auto"/>
        </w:rPr>
      </w:pPr>
    </w:p>
    <w:p>
      <w:pPr>
        <w:ind w:left="580" w:hanging="572"/>
        <w:spacing w:after="0"/>
        <w:tabs>
          <w:tab w:leader="none" w:pos="580" w:val="left"/>
        </w:tabs>
        <w:numPr>
          <w:ilvl w:val="0"/>
          <w:numId w:val="11"/>
        </w:numPr>
        <w:rPr>
          <w:rFonts w:ascii="Arial" w:cs="Arial" w:eastAsia="Arial" w:hAnsi="Arial"/>
          <w:sz w:val="25"/>
          <w:szCs w:val="25"/>
          <w:i w:val="1"/>
          <w:iCs w:val="1"/>
          <w:color w:val="auto"/>
          <w:vertAlign w:val="superscript"/>
        </w:rPr>
      </w:pPr>
      <w:r>
        <w:rPr>
          <w:rFonts w:ascii="Arial" w:cs="Arial" w:eastAsia="Arial" w:hAnsi="Arial"/>
          <w:sz w:val="15"/>
          <w:szCs w:val="15"/>
          <w:i w:val="1"/>
          <w:iCs w:val="1"/>
          <w:color w:val="auto"/>
        </w:rPr>
        <w:t>Originations of loans and outstanding principal balance represent the origination and outstanding principal balance of both on- and off-balance sheet loans.</w:t>
      </w:r>
    </w:p>
    <w:p>
      <w:pPr>
        <w:spacing w:after="0" w:line="208" w:lineRule="exact"/>
        <w:rPr>
          <w:rFonts w:ascii="Arial" w:cs="Arial" w:eastAsia="Arial" w:hAnsi="Arial"/>
          <w:sz w:val="25"/>
          <w:szCs w:val="25"/>
          <w:i w:val="1"/>
          <w:iCs w:val="1"/>
          <w:color w:val="auto"/>
          <w:vertAlign w:val="superscript"/>
        </w:rPr>
      </w:pPr>
    </w:p>
    <w:p>
      <w:pPr>
        <w:ind w:left="5220"/>
        <w:spacing w:after="0"/>
        <w:rPr>
          <w:rFonts w:ascii="Arial" w:cs="Arial" w:eastAsia="Arial" w:hAnsi="Arial"/>
          <w:sz w:val="25"/>
          <w:szCs w:val="25"/>
          <w:i w:val="1"/>
          <w:iCs w:val="1"/>
          <w:color w:val="auto"/>
          <w:vertAlign w:val="superscript"/>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2</w:t>
      </w:r>
      <w:r>
        <w:rPr>
          <w:rFonts w:ascii="Arial" w:cs="Arial" w:eastAsia="Arial" w:hAnsi="Arial"/>
          <w:sz w:val="16"/>
          <w:szCs w:val="16"/>
          <w:color w:val="auto"/>
        </w:rPr>
        <w:t xml:space="preserve"> of </w:t>
      </w:r>
      <w:r>
        <w:rPr>
          <w:rFonts w:ascii="Arial" w:cs="Arial" w:eastAsia="Arial" w:hAnsi="Arial"/>
          <w:sz w:val="16"/>
          <w:szCs w:val="16"/>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864" w:right="399" w:bottom="1440" w:gutter="0" w:footer="0" w:header="0"/>
        </w:sectPr>
      </w:pPr>
    </w:p>
    <w:bookmarkStart w:id="5" w:name="page6"/>
    <w:bookmarkEnd w:id="5"/>
    <w:p>
      <w:pPr>
        <w:ind w:left="580" w:right="60" w:hanging="572"/>
        <w:spacing w:after="0" w:line="193" w:lineRule="auto"/>
        <w:tabs>
          <w:tab w:leader="none" w:pos="580" w:val="left"/>
        </w:tabs>
        <w:numPr>
          <w:ilvl w:val="0"/>
          <w:numId w:val="12"/>
        </w:numPr>
        <w:rPr>
          <w:rFonts w:ascii="Arial" w:cs="Arial" w:eastAsia="Arial" w:hAnsi="Arial"/>
          <w:sz w:val="28"/>
          <w:szCs w:val="28"/>
          <w:i w:val="1"/>
          <w:iCs w:val="1"/>
          <w:color w:val="auto"/>
          <w:vertAlign w:val="superscript"/>
        </w:rPr>
      </w:pPr>
      <w:r>
        <w:rPr>
          <w:rFonts w:ascii="Arial" w:cs="Arial" w:eastAsia="Arial" w:hAnsi="Arial"/>
          <w:sz w:val="16"/>
          <w:szCs w:val="16"/>
          <w:i w:val="1"/>
          <w:iCs w:val="1"/>
          <w:color w:val="auto"/>
        </w:rPr>
        <w:t>Nominal APR refers to all-in interest costs and fees to the borrower over the net proceeds received by the borrower as a percentage of the total loan originations of both on- and off-balance sheet loans.</w:t>
      </w:r>
    </w:p>
    <w:p>
      <w:pPr>
        <w:ind w:left="580" w:hanging="572"/>
        <w:spacing w:after="0" w:line="232" w:lineRule="auto"/>
        <w:tabs>
          <w:tab w:leader="none" w:pos="580" w:val="left"/>
        </w:tabs>
        <w:numPr>
          <w:ilvl w:val="0"/>
          <w:numId w:val="13"/>
        </w:numPr>
        <w:rPr>
          <w:rFonts w:ascii="Arial" w:cs="Arial" w:eastAsia="Arial" w:hAnsi="Arial"/>
          <w:sz w:val="28"/>
          <w:szCs w:val="28"/>
          <w:i w:val="1"/>
          <w:iCs w:val="1"/>
          <w:color w:val="auto"/>
          <w:vertAlign w:val="superscript"/>
        </w:rPr>
      </w:pPr>
      <w:r>
        <w:rPr>
          <w:rFonts w:ascii="Arial" w:cs="Arial" w:eastAsia="Arial" w:hAnsi="Arial"/>
          <w:sz w:val="16"/>
          <w:szCs w:val="16"/>
          <w:i w:val="1"/>
          <w:iCs w:val="1"/>
          <w:color w:val="auto"/>
        </w:rPr>
        <w:t>GMV refers to the total value of transactions completed for products purchased on the e-commerce channel, net of returns.</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2021 Financial Highlights</w:t>
      </w:r>
    </w:p>
    <w:p>
      <w:pPr>
        <w:spacing w:after="0" w:line="121" w:lineRule="exact"/>
        <w:rPr>
          <w:sz w:val="20"/>
          <w:szCs w:val="20"/>
          <w:color w:val="auto"/>
        </w:rPr>
      </w:pPr>
    </w:p>
    <w:p>
      <w:pPr>
        <w:ind w:left="580" w:right="60" w:hanging="572"/>
        <w:spacing w:after="0" w:line="263" w:lineRule="auto"/>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Total operating revenue reached RMB3.3 billion. Credit-oriented services income reached RMB2.2 billion, representing an increase of 12.1% from the second quarter of 2020. Platform-based services income reached RMB620 million, representing an increase of 47.9% from the second quarter of 2020.</w:t>
      </w:r>
    </w:p>
    <w:p>
      <w:pPr>
        <w:spacing w:after="0" w:line="75" w:lineRule="exact"/>
        <w:rPr>
          <w:rFonts w:ascii="Arial" w:cs="Arial" w:eastAsia="Arial" w:hAnsi="Arial"/>
          <w:sz w:val="18"/>
          <w:szCs w:val="18"/>
          <w:color w:val="auto"/>
        </w:rPr>
      </w:pPr>
    </w:p>
    <w:p>
      <w:pPr>
        <w:ind w:left="580" w:hanging="572"/>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Gross profit reached RMB1,661 million, representing an increase of 71.7% from the second quarter of 2020.</w:t>
      </w:r>
    </w:p>
    <w:p>
      <w:pPr>
        <w:spacing w:after="0" w:line="117" w:lineRule="exact"/>
        <w:rPr>
          <w:rFonts w:ascii="Arial" w:cs="Arial" w:eastAsia="Arial" w:hAnsi="Arial"/>
          <w:sz w:val="18"/>
          <w:szCs w:val="18"/>
          <w:color w:val="auto"/>
        </w:rPr>
      </w:pPr>
    </w:p>
    <w:p>
      <w:pPr>
        <w:ind w:left="580" w:hanging="572"/>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Net income was RMB787 million, representing an increase of 87.7% from the second quarter of 2020.</w:t>
      </w:r>
    </w:p>
    <w:p>
      <w:pPr>
        <w:spacing w:after="0" w:line="117" w:lineRule="exact"/>
        <w:rPr>
          <w:rFonts w:ascii="Arial" w:cs="Arial" w:eastAsia="Arial" w:hAnsi="Arial"/>
          <w:sz w:val="18"/>
          <w:szCs w:val="18"/>
          <w:color w:val="auto"/>
        </w:rPr>
      </w:pPr>
    </w:p>
    <w:p>
      <w:pPr>
        <w:ind w:left="580" w:hanging="572"/>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Non-GAAP EBIT</w:t>
      </w:r>
      <w:r>
        <w:rPr>
          <w:rFonts w:ascii="Arial" w:cs="Arial" w:eastAsia="Arial" w:hAnsi="Arial"/>
          <w:sz w:val="15"/>
          <w:szCs w:val="15"/>
          <w:color w:val="auto"/>
        </w:rPr>
        <w:t>9</w:t>
      </w:r>
      <w:r>
        <w:rPr>
          <w:rFonts w:ascii="Arial" w:cs="Arial" w:eastAsia="Arial" w:hAnsi="Arial"/>
          <w:sz w:val="18"/>
          <w:szCs w:val="18"/>
          <w:color w:val="auto"/>
        </w:rPr>
        <w:t xml:space="preserve"> was RMB1,001 million, representing an increase of 85.0% from the second quarter of 2020.</w:t>
      </w:r>
    </w:p>
    <w:p>
      <w:pPr>
        <w:spacing w:after="0" w:line="117" w:lineRule="exact"/>
        <w:rPr>
          <w:rFonts w:ascii="Arial" w:cs="Arial" w:eastAsia="Arial" w:hAnsi="Arial"/>
          <w:sz w:val="18"/>
          <w:szCs w:val="18"/>
          <w:color w:val="auto"/>
        </w:rPr>
      </w:pPr>
    </w:p>
    <w:p>
      <w:pPr>
        <w:ind w:left="580" w:hanging="572"/>
        <w:spacing w:after="0" w:line="263" w:lineRule="auto"/>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Adjusted net income</w:t>
      </w:r>
      <w:r>
        <w:rPr>
          <w:rFonts w:ascii="Arial" w:cs="Arial" w:eastAsia="Arial" w:hAnsi="Arial"/>
          <w:sz w:val="15"/>
          <w:szCs w:val="15"/>
          <w:color w:val="auto"/>
        </w:rPr>
        <w:t>9</w:t>
      </w:r>
      <w:r>
        <w:rPr>
          <w:rFonts w:ascii="Arial" w:cs="Arial" w:eastAsia="Arial" w:hAnsi="Arial"/>
          <w:sz w:val="18"/>
          <w:szCs w:val="18"/>
          <w:color w:val="auto"/>
        </w:rPr>
        <w:t xml:space="preserve"> attributable to ordinary shareholders of the Company reached an all-time high of RMB851 million, representing an increase of 87.9% from the second quarter of 2020. Adjusted net income per ADS</w:t>
      </w:r>
      <w:r>
        <w:rPr>
          <w:rFonts w:ascii="Arial" w:cs="Arial" w:eastAsia="Arial" w:hAnsi="Arial"/>
          <w:sz w:val="15"/>
          <w:szCs w:val="15"/>
          <w:color w:val="auto"/>
        </w:rPr>
        <w:t>9</w:t>
      </w:r>
      <w:r>
        <w:rPr>
          <w:rFonts w:ascii="Arial" w:cs="Arial" w:eastAsia="Arial" w:hAnsi="Arial"/>
          <w:sz w:val="18"/>
          <w:szCs w:val="18"/>
          <w:color w:val="auto"/>
        </w:rPr>
        <w:t xml:space="preserve"> attributable to ordinary shareholders of the Company was RMB4.08 on a fully diluted basis.</w:t>
      </w:r>
    </w:p>
    <w:p>
      <w:pPr>
        <w:spacing w:after="0" w:line="80" w:lineRule="exact"/>
        <w:rPr>
          <w:sz w:val="20"/>
          <w:szCs w:val="20"/>
          <w:color w:val="auto"/>
        </w:rPr>
      </w:pPr>
    </w:p>
    <w:p>
      <w:pPr>
        <w:ind w:left="580" w:right="80" w:hanging="572"/>
        <w:spacing w:after="0" w:line="223" w:lineRule="auto"/>
        <w:tabs>
          <w:tab w:leader="none" w:pos="580" w:val="left"/>
        </w:tabs>
        <w:numPr>
          <w:ilvl w:val="0"/>
          <w:numId w:val="15"/>
        </w:numPr>
        <w:rPr>
          <w:rFonts w:ascii="Arial" w:cs="Arial" w:eastAsia="Arial" w:hAnsi="Arial"/>
          <w:sz w:val="28"/>
          <w:szCs w:val="28"/>
          <w:i w:val="1"/>
          <w:iCs w:val="1"/>
          <w:color w:val="auto"/>
          <w:vertAlign w:val="superscript"/>
        </w:rPr>
      </w:pPr>
      <w:r>
        <w:rPr>
          <w:rFonts w:ascii="Arial" w:cs="Arial" w:eastAsia="Arial" w:hAnsi="Arial"/>
          <w:sz w:val="16"/>
          <w:szCs w:val="16"/>
          <w:i w:val="1"/>
          <w:iCs w:val="1"/>
          <w:color w:val="auto"/>
        </w:rPr>
        <w:t>Non-GAAP EBIT, adjusted net income /(loss) attributable to ordinary shareholders of the Company, adjusted net income /(loss) per ordinary share and per ADS attributable to ordinary shareholders of the Company are non-GAAP financial measures. For more information on non-GAAP financial measures, please see the section of “Use of Non-GAAP Financial Measures Statement” and the tables captioned “Unaudited Reconciliations of GAAP and Non-GAAP Results” set forth at the end of this press release.</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2021 Financial Results</w:t>
      </w:r>
    </w:p>
    <w:p>
      <w:pPr>
        <w:spacing w:after="0" w:line="121"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Operating revenue increased from RMB2,958 million in the second quarter of 2020 to RMB3,269 million in the second quarter of 2021. This increase in operating revenue was due to the increases in credit-oriented services income and platform-based services income for the quarter, driven by continuing increases in the number of active users on our platform, partially offset by a decrease in online direct sales and services income.</w:t>
      </w:r>
    </w:p>
    <w:p>
      <w:pPr>
        <w:spacing w:after="0" w:line="14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Online direct sales decreased by 21.6% from RMB522 million in the second quarter of 2020 to RMB409 million in the second quarter of 2021. This decrease was primarily due to the decrease in the number of e-commerce orders during the second quarter of 2021.</w:t>
      </w:r>
    </w:p>
    <w:p>
      <w:pPr>
        <w:spacing w:after="0" w:line="17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Credit-oriented services income increased by 12.1% from RMB1,969 million in the second quarter of 2020 to RMB2,208 million in the second quarter of 2021. The increase was primarily due to the increase of loan facilitation and servicing fees-credit oriented and the increase of interest and financial services income and other revenues, partially offset by the decrease in guarantee income.</w:t>
      </w:r>
    </w:p>
    <w:p>
      <w:pPr>
        <w:spacing w:after="0" w:line="184"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Loan facilitation and servicing fees-credit oriented increased by 71.2% from RMB931 million in the second quarter of 2020 to RMB1,595 million in the second quarter of 2021. This increase was primarily due to the increase in off-balance sheet loans originated under credit-oriented model as a result of the continuing growth of our business, with the expansion of partnerships with institutional funding partners.</w:t>
      </w:r>
    </w:p>
    <w:p>
      <w:pPr>
        <w:spacing w:after="0" w:line="184" w:lineRule="exact"/>
        <w:rPr>
          <w:sz w:val="20"/>
          <w:szCs w:val="20"/>
          <w:color w:val="auto"/>
        </w:rPr>
      </w:pPr>
    </w:p>
    <w:p>
      <w:pPr>
        <w:jc w:val="both"/>
        <w:ind w:right="540"/>
        <w:spacing w:after="0" w:line="263" w:lineRule="auto"/>
        <w:rPr>
          <w:sz w:val="20"/>
          <w:szCs w:val="20"/>
          <w:color w:val="auto"/>
        </w:rPr>
      </w:pPr>
      <w:r>
        <w:rPr>
          <w:rFonts w:ascii="Arial" w:cs="Arial" w:eastAsia="Arial" w:hAnsi="Arial"/>
          <w:sz w:val="18"/>
          <w:szCs w:val="18"/>
          <w:color w:val="auto"/>
        </w:rPr>
        <w:t xml:space="preserve">Guarantee income decreased by 71.2% from RMB706 million in the second quarter of 2020 to RMB204 million in the second quarter of 2021. The decrease was primarily due to the decrease of loan origination and outstanding balances of the off-balance sheet loans funded by certain Institutional Funding Partners, which are accounted for as guarantee liabilities under ASC 460, </w:t>
      </w:r>
      <w:r>
        <w:rPr>
          <w:rFonts w:ascii="Arial" w:cs="Arial" w:eastAsia="Arial" w:hAnsi="Arial"/>
          <w:sz w:val="18"/>
          <w:szCs w:val="18"/>
          <w:i w:val="1"/>
          <w:iCs w:val="1"/>
          <w:color w:val="auto"/>
        </w:rPr>
        <w:t>Guarantees.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3</w:t>
      </w:r>
      <w:r>
        <w:rPr>
          <w:rFonts w:ascii="Arial" w:cs="Arial" w:eastAsia="Arial" w:hAnsi="Arial"/>
          <w:sz w:val="16"/>
          <w:szCs w:val="16"/>
          <w:color w:val="auto"/>
        </w:rPr>
        <w:t xml:space="preserve"> of </w:t>
      </w:r>
      <w:r>
        <w:rPr>
          <w:rFonts w:ascii="Arial" w:cs="Arial" w:eastAsia="Arial" w:hAnsi="Arial"/>
          <w:sz w:val="16"/>
          <w:szCs w:val="16"/>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6" w:name="page7"/>
    <w:bookmarkEnd w:id="6"/>
    <w:p>
      <w:pPr>
        <w:ind w:right="140"/>
        <w:spacing w:after="0" w:line="342" w:lineRule="auto"/>
        <w:rPr>
          <w:sz w:val="20"/>
          <w:szCs w:val="20"/>
          <w:color w:val="auto"/>
        </w:rPr>
      </w:pPr>
      <w:r>
        <w:rPr>
          <w:rFonts w:ascii="Arial" w:cs="Arial" w:eastAsia="Arial" w:hAnsi="Arial"/>
          <w:sz w:val="16"/>
          <w:szCs w:val="16"/>
          <w:color w:val="auto"/>
        </w:rPr>
        <w:t>Interest and financial services income and other revenues increased by 23.5% from RMB332 million in the second quarter of 2020 to RMB410 million in the second quarter of 2021, which was consistent with the increase in the origination of on-balance sheet loans in the second quarter of 2021.</w:t>
      </w:r>
    </w:p>
    <w:p>
      <w:pPr>
        <w:spacing w:after="0" w:line="124"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Platform-based services income increased by 47.9% from RMB419 million in the second quarter of 2020 to RMB620 million in the second quarter of 2021. This increase was primarily contributed by an increase in the loan facilitation and servicing fees-performance based.</w:t>
      </w:r>
    </w:p>
    <w:p>
      <w:pPr>
        <w:spacing w:after="0" w:line="14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Loan facilitation and servicing fees-performance based increased by 38.0% from RMB394 million in the second quarter of 2020 to RMB543 million in the second quarter of 2021. This increase was primarily due to an increase in the origination of off-balance sheet loans under the performance-based model within platform-based services, driven by continuing increases in the number of active users on our platform.</w:t>
      </w:r>
    </w:p>
    <w:p>
      <w:pPr>
        <w:spacing w:after="0" w:line="18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Cost of sales decreased by 17.8% from RMB520 million in the second quarter of 2020 to RMB427 million in the second quarter of 2021, which is consistent with the decrease of online direct sales revenue.</w:t>
      </w:r>
    </w:p>
    <w:p>
      <w:pPr>
        <w:spacing w:after="0" w:line="170" w:lineRule="exact"/>
        <w:rPr>
          <w:sz w:val="20"/>
          <w:szCs w:val="20"/>
          <w:color w:val="auto"/>
        </w:rPr>
      </w:pPr>
    </w:p>
    <w:p>
      <w:pPr>
        <w:jc w:val="both"/>
        <w:ind w:right="480"/>
        <w:spacing w:after="0" w:line="271" w:lineRule="auto"/>
        <w:rPr>
          <w:sz w:val="20"/>
          <w:szCs w:val="20"/>
          <w:color w:val="auto"/>
        </w:rPr>
      </w:pPr>
      <w:r>
        <w:rPr>
          <w:rFonts w:ascii="Arial" w:cs="Arial" w:eastAsia="Arial" w:hAnsi="Arial"/>
          <w:sz w:val="18"/>
          <w:szCs w:val="18"/>
          <w:color w:val="auto"/>
        </w:rPr>
        <w:t>Funding cost decreased by 24.3% from RMB163 million in the second quarter of 2020 to RMB124 million in the second quarter of 2021, which was consistent with the decrease of the funding debts to fund the on-balance sheet loans. The decrease in funding debts was mainly due to the shortened weighted average tenor for on-balance sheet loans.</w:t>
      </w:r>
    </w:p>
    <w:p>
      <w:pPr>
        <w:spacing w:after="0" w:line="176"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Processing and servicing cost increased by 31.8% from RMB356 million in the second quarter of 2020 to RMB470 million in the second quarter of 2021. This increase was primarily due to an increase in risk management and collection expenses, an increase in credit assessment cost, and an increase in fees to third-party payment platforms, partially offset by a decrease in fees to third party insurance companies and guarantee companies.</w:t>
      </w:r>
    </w:p>
    <w:p>
      <w:pPr>
        <w:spacing w:after="0" w:line="16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Provision for credit losses of financing receivables decreased by 7.7% from RMB121 million in the second quarter of 2020 to RMB112 million in the second quarter of 2021. The credit losses have reflected the most recent performance in relation to the Company’s on-balance sheet loans and the Company has continued to implement prudent credit assessment and risk management policies and procedures.</w:t>
      </w:r>
    </w:p>
    <w:p>
      <w:pPr>
        <w:spacing w:after="0" w:line="18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Provision for credit losses of contract assets and receivables increased by 130% from RMB60.8 million in the second quarter of 2020 to RMB140 million in the second quarter of 2021. This increase was mainly due to the significant increase in off-balance sheet loans originated as a result of the continuing growth of our business.</w:t>
      </w:r>
    </w:p>
    <w:p>
      <w:pPr>
        <w:spacing w:after="0" w:line="184"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 xml:space="preserve">Provision for credit losses of contingent liabilities of guarantee decreased by 56.4% from RMB769 million in the second quarter of 2020 to RMB335 million in the second quarter of 2021. The decrease was primarily due to the decrease of loan origination of the off-balance sheet loans funded by certain Institutional Funding Partners, which are accounted for as guarantee liabilities under ASC 460, </w:t>
      </w:r>
      <w:r>
        <w:rPr>
          <w:rFonts w:ascii="Arial" w:cs="Arial" w:eastAsia="Arial" w:hAnsi="Arial"/>
          <w:sz w:val="18"/>
          <w:szCs w:val="18"/>
          <w:i w:val="1"/>
          <w:iCs w:val="1"/>
          <w:color w:val="auto"/>
        </w:rPr>
        <w:t>Guarantees</w:t>
      </w:r>
      <w:r>
        <w:rPr>
          <w:rFonts w:ascii="Arial" w:cs="Arial" w:eastAsia="Arial" w:hAnsi="Arial"/>
          <w:sz w:val="18"/>
          <w:szCs w:val="18"/>
          <w:color w:val="auto"/>
        </w:rPr>
        <w:t>.</w:t>
      </w:r>
    </w:p>
    <w:p>
      <w:pPr>
        <w:spacing w:after="0" w:line="17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Gross profit increased by 71.7% from RMB968 million in the second quarter of 2020 to RMB1,661 million in the second quarter of 2021. The increase in the gross profit is primarily due to the significant increase in platform-based services income and credit-oriented services income, the decrease in funding cost and provision for credit losses of contingent liabilities of guarantee, partially offset by the increase in processing and servicing cost and provision for credit losses of contract assets and receivables.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Sales and marketing expenses increased by 51.1% from RMB327 million in the second quarter of 2020 to RMB495 million in the second quarter of 2021.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increase was primarily due to an increase in online advertising cost, and an increase in salaries and personnel related costs.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4</w:t>
      </w:r>
      <w:r>
        <w:rPr>
          <w:rFonts w:ascii="Arial" w:cs="Arial" w:eastAsia="Arial" w:hAnsi="Arial"/>
          <w:sz w:val="16"/>
          <w:szCs w:val="16"/>
          <w:color w:val="auto"/>
        </w:rPr>
        <w:t xml:space="preserve"> of </w:t>
      </w:r>
      <w:r>
        <w:rPr>
          <w:rFonts w:ascii="Arial" w:cs="Arial" w:eastAsia="Arial" w:hAnsi="Arial"/>
          <w:sz w:val="16"/>
          <w:szCs w:val="16"/>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748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7" w:name="page8"/>
    <w:bookmarkEnd w:id="7"/>
    <w:p>
      <w:pPr>
        <w:ind w:right="160"/>
        <w:spacing w:after="0" w:line="277" w:lineRule="auto"/>
        <w:rPr>
          <w:sz w:val="20"/>
          <w:szCs w:val="20"/>
          <w:color w:val="auto"/>
        </w:rPr>
      </w:pPr>
      <w:r>
        <w:rPr>
          <w:rFonts w:ascii="Arial" w:cs="Arial" w:eastAsia="Arial" w:hAnsi="Arial"/>
          <w:sz w:val="18"/>
          <w:szCs w:val="18"/>
          <w:color w:val="auto"/>
        </w:rPr>
        <w:t>Research and development expenses decreased by 3.1% from RMB135 million in the second quarter of 2020 to RMB130 million in the second quarter of 2021. This decrease was primarily due to a decrease in salaries and personnel related costs.</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General and administrative expenses increased by 6.2% from RMB114 million in the second quarter of 2020 to RMB121 million in the second quarter of 2021. This increase was primarily due to an increase in professional service fees</w:t>
      </w:r>
      <w:r>
        <w:rPr>
          <w:rFonts w:ascii="Arial" w:cs="Arial" w:eastAsia="Arial" w:hAnsi="Arial"/>
          <w:sz w:val="18"/>
          <w:szCs w:val="18"/>
          <w:color w:val="FF0000"/>
        </w:rPr>
        <w:t>.</w:t>
      </w:r>
    </w:p>
    <w:p>
      <w:pPr>
        <w:spacing w:after="0" w:line="170"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Change in fair value of financial guarantee derivatives was a loss of RMB19.1 million in the second quarter of 2021, as compared to a gain of RMB79.2 million in the second quarter of 2020. The loss was primarily due to the re-measurement of the expected loss rates and changes in the balances of the underlying outstanding off-balance sheet loans at the balance sheet date.</w:t>
      </w:r>
    </w:p>
    <w:p>
      <w:pPr>
        <w:spacing w:after="0" w:line="1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Change in fair value of loans at fair value was a gain of RMB17.8 million in the second quarter of 2021. Starting from the second quarter of 2020, for the loans we acquired/purchased from the relevant funding partners during the period, we account for them using fair value option pursuant to ASC 825, </w:t>
      </w:r>
      <w:r>
        <w:rPr>
          <w:rFonts w:ascii="Arial" w:cs="Arial" w:eastAsia="Arial" w:hAnsi="Arial"/>
          <w:sz w:val="18"/>
          <w:szCs w:val="18"/>
          <w:i w:val="1"/>
          <w:iCs w:val="1"/>
          <w:color w:val="auto"/>
        </w:rPr>
        <w:t>Financial Instruments</w:t>
      </w:r>
      <w:r>
        <w:rPr>
          <w:rFonts w:ascii="Arial" w:cs="Arial" w:eastAsia="Arial" w:hAnsi="Arial"/>
          <w:sz w:val="18"/>
          <w:szCs w:val="18"/>
          <w:color w:val="auto"/>
        </w:rPr>
        <w:t>, and record them as “Loans at fair value”. Changes in fair value of these loans are reported net and recorded as “Change in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of loans at fair value”.</w:t>
      </w:r>
    </w:p>
    <w:p>
      <w:pPr>
        <w:spacing w:after="0" w:line="20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Income tax expense increased by 97% from RMB76.6 million in the second quarter of 2020 to RMB151 million in the second quarter of 2021. The increase was consistent with the increase of the taxable income from the same period of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Net income increased by 87.7% from RMB419 million in the second quarter of 2020 to RMB787 million in the second quarter of 2021.</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Adjusted net income attributable to ordinary shareholders of the Company increased by 87.9% from RMB453 million in the second quarter of 2020 to RMB851 million in the second quarter of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Please click here to view our credit quality curves: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http://ml.globenewswire.com/Resource/Download/0779696d-7d8d-4045-9b41-6b961fea13af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http://ml.globenewswire.com/Resource/Download/1e317694-c926-4bd2-a01e-cbf05c173dd6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http://ml.globenewswire.com/Resource/Download/ed6259c4-6566-4cdc-8ae3-79db5be7b256</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Update</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August 20, 2021, the Standing Committee of the National People's Congress of China promulgated the Personal Information Protection Law of the People’s Republic of China, or the Personal Information Protection Law, which will take effect on November 1, 2021. The Personal Information Protection Law imposes additional compliance requirements on top of the existing laws and regulations on personal information protection with more significant legal responsibilities. As the Personal Information Protection Law was recently promulgated and has not yet taken effect, we cannot assure you that the personal information protection measures taken by us will be considered sufficient under the law due to factors including the uncertainties of the interpretation and implementation of the Personal Information Protection Law. To the extent our personal information protection measures may be considered insufficient, we may be required to make further adjustments to our business practices to ensure full compliance with the law, which may increase our compliance costs, subject us to heightened risks and challenges, and adversely affect our business, financial condition, and results of operations.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5</w:t>
      </w:r>
      <w:r>
        <w:rPr>
          <w:rFonts w:ascii="Arial" w:cs="Arial" w:eastAsia="Arial" w:hAnsi="Arial"/>
          <w:sz w:val="16"/>
          <w:szCs w:val="16"/>
          <w:color w:val="auto"/>
        </w:rPr>
        <w:t xml:space="preserve"> of </w:t>
      </w:r>
      <w:r>
        <w:rPr>
          <w:rFonts w:ascii="Arial" w:cs="Arial" w:eastAsia="Arial" w:hAnsi="Arial"/>
          <w:sz w:val="16"/>
          <w:szCs w:val="16"/>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Outlook</w:t>
      </w:r>
    </w:p>
    <w:p>
      <w:pPr>
        <w:spacing w:after="0" w:line="12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Based on Lexin’s preliminary assessment of the current market conditions, the Company expects total loan originations for fiscal year 2021 to be around RMB230 billion, revised down from between RMB240 billion and RMB250 billion. This is Lexin’s current and preliminary view, which is subject to changes and uncertainties.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Company’s management will host an earnings conference call at 7:00 AM U.S. Eastern time on August 25, 2021 (7:00 PM Beijing/Hong Kong time on August 25, 2021).</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Participants who wish to join the conference call should register online at:</w:t>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http://apac.directeventreg.com/registration/event/6393426</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Please note the Conference ID number of 6393426.</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Once registration is completed, participants will receive the dial-in information for the conference call, an event passcode, and a unique registrant ID number.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Participants joining the conference call should dial-in at least 10 minutes before the scheduled start time.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Additionally, a live and archived webcast of the conference call will be available on the Company’s investor relations website at </w:t>
      </w:r>
      <w:r>
        <w:rPr>
          <w:rFonts w:ascii="Arial" w:cs="Arial" w:eastAsia="Arial" w:hAnsi="Arial"/>
          <w:sz w:val="17"/>
          <w:szCs w:val="17"/>
          <w:u w:val="single" w:color="auto"/>
          <w:color w:val="auto"/>
        </w:rPr>
        <w:t>http://ir.lexin.com</w:t>
      </w:r>
      <w:r>
        <w:rPr>
          <w:rFonts w:ascii="Arial" w:cs="Arial" w:eastAsia="Arial" w:hAnsi="Arial"/>
          <w:sz w:val="17"/>
          <w:szCs w:val="17"/>
          <w:color w:val="auto"/>
        </w:rPr>
        <w:t>.</w:t>
      </w:r>
    </w:p>
    <w:p>
      <w:pPr>
        <w:spacing w:after="0" w:line="23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 replay of the conference call will be accessible approximately two hours after the conclusion of the live call until September 1, 2021, by dialing the following telephone numbers:</w:t>
      </w:r>
    </w:p>
    <w:p>
      <w:pPr>
        <w:spacing w:after="0" w:line="170" w:lineRule="exact"/>
        <w:rPr>
          <w:sz w:val="20"/>
          <w:szCs w:val="20"/>
          <w:color w:val="auto"/>
        </w:rPr>
      </w:pPr>
    </w:p>
    <w:tbl>
      <w:tblPr>
        <w:tblLayout w:type="fixed"/>
        <w:tblInd w:w="960" w:type="dxa"/>
        <w:tblCellMar>
          <w:top w:w="0" w:type="dxa"/>
          <w:left w:w="0" w:type="dxa"/>
          <w:bottom w:w="0" w:type="dxa"/>
          <w:right w:w="0" w:type="dxa"/>
        </w:tblCellMar>
      </w:tblP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United States:</w:t>
            </w:r>
          </w:p>
        </w:tc>
        <w:tc>
          <w:tcPr>
            <w:tcW w:w="3220" w:type="dxa"/>
            <w:vAlign w:val="bottom"/>
          </w:tcPr>
          <w:p>
            <w:pPr>
              <w:ind w:left="720"/>
              <w:spacing w:after="0"/>
              <w:rPr>
                <w:sz w:val="20"/>
                <w:szCs w:val="20"/>
                <w:color w:val="auto"/>
              </w:rPr>
            </w:pPr>
            <w:r>
              <w:rPr>
                <w:rFonts w:ascii="Arial" w:cs="Arial" w:eastAsia="Arial" w:hAnsi="Arial"/>
                <w:sz w:val="18"/>
                <w:szCs w:val="18"/>
                <w:color w:val="auto"/>
                <w:w w:val="89"/>
              </w:rPr>
              <w:t>1 855 452 5696 or 1 646 254 3697</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International:</w:t>
            </w:r>
          </w:p>
        </w:tc>
        <w:tc>
          <w:tcPr>
            <w:tcW w:w="3220" w:type="dxa"/>
            <w:vAlign w:val="bottom"/>
          </w:tcPr>
          <w:p>
            <w:pPr>
              <w:ind w:left="720"/>
              <w:spacing w:after="0"/>
              <w:rPr>
                <w:sz w:val="20"/>
                <w:szCs w:val="20"/>
                <w:color w:val="auto"/>
              </w:rPr>
            </w:pPr>
            <w:r>
              <w:rPr>
                <w:rFonts w:ascii="Arial" w:cs="Arial" w:eastAsia="Arial" w:hAnsi="Arial"/>
                <w:sz w:val="18"/>
                <w:szCs w:val="18"/>
                <w:color w:val="auto"/>
              </w:rPr>
              <w:t>61 2 8199 0299</w:t>
            </w:r>
          </w:p>
        </w:tc>
      </w:tr>
      <w:tr>
        <w:trPr>
          <w:trHeight w:val="230"/>
        </w:trPr>
        <w:tc>
          <w:tcPr>
            <w:tcW w:w="2280" w:type="dxa"/>
            <w:vAlign w:val="bottom"/>
          </w:tcPr>
          <w:p>
            <w:pPr>
              <w:spacing w:after="0"/>
              <w:rPr>
                <w:sz w:val="20"/>
                <w:szCs w:val="20"/>
                <w:color w:val="auto"/>
              </w:rPr>
            </w:pPr>
            <w:r>
              <w:rPr>
                <w:rFonts w:ascii="Arial" w:cs="Arial" w:eastAsia="Arial" w:hAnsi="Arial"/>
                <w:sz w:val="18"/>
                <w:szCs w:val="18"/>
                <w:color w:val="auto"/>
              </w:rPr>
              <w:t>Replay Access Code:</w:t>
            </w:r>
          </w:p>
        </w:tc>
        <w:tc>
          <w:tcPr>
            <w:tcW w:w="3220" w:type="dxa"/>
            <w:vAlign w:val="bottom"/>
          </w:tcPr>
          <w:p>
            <w:pPr>
              <w:ind w:left="720"/>
              <w:spacing w:after="0"/>
              <w:rPr>
                <w:sz w:val="20"/>
                <w:szCs w:val="20"/>
                <w:color w:val="auto"/>
              </w:rPr>
            </w:pPr>
            <w:r>
              <w:rPr>
                <w:rFonts w:ascii="Arial" w:cs="Arial" w:eastAsia="Arial" w:hAnsi="Arial"/>
                <w:sz w:val="18"/>
                <w:szCs w:val="18"/>
                <w:color w:val="auto"/>
              </w:rPr>
              <w:t>6393426</w:t>
            </w: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LexinFintech Holdings Ltd.</w:t>
      </w:r>
    </w:p>
    <w:p>
      <w:pPr>
        <w:spacing w:after="0" w:line="148"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LexinFintech Holdings Ltd. is a leading online consumption and finance platform for new generation consumers and users in China. The Company provides a comprehensive range of consumption, financial and business services including financial technology services, “buy now pay later” (“BNPL”) services, and membership benefits through its ecommerce platform Fenqile, BNPL product Maiya, and membership platform Le Card. The Company works with financial institutions and brands both online and offline to provide a comprehensive consumption ecosystem catering to the needs of young professionals in China. Lexin utilizes advanced technologies such as big data, cloud computing and artificial intelligence throughout the Company's services and operations, which include risk management, loan facilitation, and the near-instantaneous matching of users’ funding requests with offers from the Company's many funding partners, and other consumption and financial services.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please visit </w:t>
      </w:r>
      <w:r>
        <w:rPr>
          <w:rFonts w:ascii="Arial" w:cs="Arial" w:eastAsia="Arial" w:hAnsi="Arial"/>
          <w:sz w:val="18"/>
          <w:szCs w:val="18"/>
          <w:u w:val="single" w:color="auto"/>
          <w:color w:val="auto"/>
        </w:rPr>
        <w:t>http://ir.lexin.com</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follow us on Twitter, please go to: </w:t>
      </w:r>
      <w:r>
        <w:rPr>
          <w:rFonts w:ascii="Arial" w:cs="Arial" w:eastAsia="Arial" w:hAnsi="Arial"/>
          <w:sz w:val="18"/>
          <w:szCs w:val="18"/>
          <w:u w:val="single" w:color="auto"/>
          <w:color w:val="auto"/>
        </w:rPr>
        <w:t>https://twitter.com/LexinFintech</w:t>
      </w:r>
      <w:r>
        <w:rPr>
          <w:rFonts w:ascii="Arial" w:cs="Arial" w:eastAsia="Arial" w:hAnsi="Arial"/>
          <w:sz w:val="18"/>
          <w:szCs w:val="18"/>
          <w:color w:val="auto"/>
        </w:rPr>
        <w:t>.</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6</w:t>
      </w:r>
      <w:r>
        <w:rPr>
          <w:rFonts w:ascii="Arial" w:cs="Arial" w:eastAsia="Arial" w:hAnsi="Arial"/>
          <w:sz w:val="16"/>
          <w:szCs w:val="16"/>
          <w:color w:val="auto"/>
        </w:rPr>
        <w:t xml:space="preserve"> of </w:t>
      </w:r>
      <w:r>
        <w:rPr>
          <w:rFonts w:ascii="Arial" w:cs="Arial" w:eastAsia="Arial" w:hAnsi="Arial"/>
          <w:sz w:val="16"/>
          <w:szCs w:val="16"/>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Use of Non-GAAP Financial Measures Statement</w:t>
      </w:r>
    </w:p>
    <w:p>
      <w:pPr>
        <w:spacing w:after="0" w:line="121"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In evaluating our business, we consider and use adjusted net income/(loss) attributable to ordinary shareholders of the Company, non-GAAP EBIT, adjusted net income/(loss) per ordinary share and per ADS attributable to ordinary shareholders of the Company, four non-GAAP measures, as supplemental measures to review and assess our operating performance. The presentation of the non-GAAP financial measures is not intended to be considered in isolation or as a substitute for the financial information prepared and presented in accordance with U.S. GAAP. We define adjusted net income/(loss) attributable to ordinary shareholders of the Company as net income/(loss) attributable to ordinary shareholders of the Company excluding share-based compensation expenses, interest expense associated with convertible notes and investment income/(loss) and we define non-GAAP EBIT as net income/(loss) excluding income tax expense/(benefit), share-based compensation expenses, interest expense, net and investment income/(loss) .</w:t>
      </w:r>
    </w:p>
    <w:p>
      <w:pPr>
        <w:spacing w:after="0" w:line="16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present these non-GAAP financial measures because it is used by our management to evaluate our operating performance and formulate business plans. Adjusted net income/(loss) attributable to ordinary shareholders of the Company enables our management to assess our operating results without considering the impact of share-based compensation expenses, interest expense associated with convertible notes, and investment income/(loss). Non-GAAP EBIT, on the other hand, enables our management to assess our operating results without considering the impact of income tax expense/(benefit), share-based compensation expenses, interest expense, net and investment income/(loss). We also believe that the use of these non-GAAP financial measures facilitates investors’ assessment of our operating performance. These non-GAAP financial measures are not defined under U.S. GAAP and are not presented in accordance with U.S. GAAP.</w:t>
      </w:r>
    </w:p>
    <w:p>
      <w:pPr>
        <w:spacing w:after="0" w:line="17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These non-GAAP financial measures have limitations as an analytical tool. One of the key limitations of using adjusted net income/(loss) attributable to ordinary shareholders of the Company and non-GAAP EBIT is that they do not reflect all items of income and expense that affect our operations. Share-based compensation expenses, interest expense associated with convertible notes, income tax expense/(benefit), interest expense, net and investment income/(loss) have been and may continue to be incurred in our business and are not reflected in the presentation of adjusted net income/(loss) attributable to ordinary shareholders of the Company and non-GAAP EBIT. Further, these non-GAAP financial measures may differ from the non-GAAP financial information used by other companies, including peer companies, and therefore their comparability may be limited.</w:t>
      </w:r>
    </w:p>
    <w:p>
      <w:pPr>
        <w:spacing w:after="0" w:line="17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compensate for these limitations by reconciling the non-GAAP financial measure to the most directly comparable U.S. GAAP financial measure, which should be considered when evaluating our performance. We encourage you to review our financial information in its entirety and not rely on a single financial measure.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 Information Statement</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This announcement contains translations of certain RMB amounts into U.S. dollars (“US$”) at specified rates solely for the convenience of the reader. Unless otherwise stated, all translations from RMB to US$ were made at the rate of RMB6.4566 to US$1.00, the exchange rate set forth in the H.10 statistical release of the Federal Reserve Board on June 30, 2021. The Company makes no representation that the RMB or US$ amounts referred could be converted into US$ or RMB, as the case may be, at any particular rate or at all.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7</w:t>
      </w:r>
      <w:r>
        <w:rPr>
          <w:rFonts w:ascii="Arial" w:cs="Arial" w:eastAsia="Arial" w:hAnsi="Arial"/>
          <w:sz w:val="16"/>
          <w:szCs w:val="16"/>
          <w:color w:val="auto"/>
        </w:rPr>
        <w:t xml:space="preserve"> of </w:t>
      </w:r>
      <w:r>
        <w:rPr>
          <w:rFonts w:ascii="Arial" w:cs="Arial" w:eastAsia="Arial" w:hAnsi="Arial"/>
          <w:sz w:val="16"/>
          <w:szCs w:val="16"/>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48"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Safe Harbor Statement</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announcement contains forward-looking statements. These statements are made under the “safe harbor” provisions of the U.S. Private Securities Litigation Reform Act of 1995. Statements that are not historical facts, including statements about Lexin’s beliefs and expectations, are forward-looking statements. These forward-looking statements can be identified by terminology such as “will,” expects,” “anticipates,” “future,” “intends,” “plans,” “believes,” “estimates,” “confident” and similar statements. Among other things, the expectation of its collection efficiency and delinquency, business outlook and quotations from management in this announcement, contain forward-looking statements. Lexin may also make written or oral forward-looking statements in its periodic reports to the U.S. Securities and Exchange Commission (the “SEC”), in its annual report to shareholders, in press releases and other written materials and in oral statements made by its officers, directors or employees to third parties. Forward-looking statements involve inherent risks and uncertainties. A number of factors could cause actual results to differ materially from those contained in any forward-looking statement, including but not limited to the following: Lexin’s goal and strategies; Lexin’s expansion plans; Lexin’s future business development, financial condition and results of operations; Lexin’s expectation regarding demand for, and market acceptance of, its credit and investment management products; Lexin’s expectations regarding keeping and strengthening its relationship with borrowers, institutional funding partners, merchandise suppliers and other parties it collaborates with; general economic and business conditions; and assumptions underlying or related to any of the foregoing. Further information regarding these and other risks is included in Lexin’s filings with the SEC. All information provided in this press release and in the attachments is as of the date of this press release, and Lexin does not undertake any obligation to update any forward-looking statement, except as required under applicable law.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investor and media inquiries, please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LexinFintech Holdings Ltd.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IR inquiries: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Patricia Cheng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Tel: +86 (755) 3637-8888 ext. 8135</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9"/>
          <w:szCs w:val="19"/>
          <w:color w:val="auto"/>
        </w:rPr>
        <w:t>patriciacheng@lexin.com</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Media inquiries: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Limin Chen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Tel: +86 (755) 3637-8888 ext. 6993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E-mail: liminchen@lexin.com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SOURCE LexinFintech Holdings Ltd.</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8</w:t>
      </w:r>
      <w:r>
        <w:rPr>
          <w:rFonts w:ascii="Arial" w:cs="Arial" w:eastAsia="Arial" w:hAnsi="Arial"/>
          <w:sz w:val="16"/>
          <w:szCs w:val="16"/>
          <w:color w:val="auto"/>
        </w:rPr>
        <w:t xml:space="preserve"> of </w:t>
      </w:r>
      <w:r>
        <w:rPr>
          <w:rFonts w:ascii="Arial" w:cs="Arial" w:eastAsia="Arial" w:hAnsi="Arial"/>
          <w:sz w:val="16"/>
          <w:szCs w:val="16"/>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48" w:right="3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LexinFintech Holdings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7460" w:type="dxa"/>
            <w:vAlign w:val="bottom"/>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3"/>
          </w:tcPr>
          <w:p>
            <w:pPr>
              <w:ind w:left="360"/>
              <w:spacing w:after="0"/>
              <w:rPr>
                <w:sz w:val="20"/>
                <w:szCs w:val="20"/>
                <w:color w:val="auto"/>
              </w:rPr>
            </w:pPr>
            <w:r>
              <w:rPr>
                <w:rFonts w:ascii="Arial" w:cs="Arial" w:eastAsia="Arial" w:hAnsi="Arial"/>
                <w:sz w:val="12"/>
                <w:szCs w:val="12"/>
                <w:b w:val="1"/>
                <w:bCs w:val="1"/>
                <w:color w:val="auto"/>
              </w:rPr>
              <w:t>As of</w:t>
            </w:r>
          </w:p>
        </w:tc>
        <w:tc>
          <w:tcPr>
            <w:tcW w:w="7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7460" w:type="dxa"/>
            <w:vAlign w:val="bottom"/>
          </w:tcPr>
          <w:p>
            <w:pPr>
              <w:spacing w:after="0"/>
              <w:rPr>
                <w:sz w:val="20"/>
                <w:szCs w:val="20"/>
                <w:color w:val="auto"/>
              </w:rPr>
            </w:pPr>
            <w:r>
              <w:rPr>
                <w:rFonts w:ascii="Arial" w:cs="Arial" w:eastAsia="Arial" w:hAnsi="Arial"/>
                <w:sz w:val="12"/>
                <w:szCs w:val="12"/>
                <w:b w:val="1"/>
                <w:bCs w:val="1"/>
                <w:color w:val="auto"/>
              </w:rPr>
              <w:t>(In thousands)</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December 31, 2020</w:t>
            </w:r>
          </w:p>
        </w:tc>
        <w:tc>
          <w:tcPr>
            <w:tcW w:w="80" w:type="dxa"/>
            <w:vAlign w:val="bottom"/>
          </w:tcPr>
          <w:p>
            <w:pPr>
              <w:spacing w:after="0"/>
              <w:rPr>
                <w:sz w:val="12"/>
                <w:szCs w:val="12"/>
                <w:color w:val="auto"/>
              </w:rPr>
            </w:pPr>
          </w:p>
        </w:tc>
        <w:tc>
          <w:tcPr>
            <w:tcW w:w="1600" w:type="dxa"/>
            <w:vAlign w:val="bottom"/>
            <w:tcBorders>
              <w:bottom w:val="single" w:sz="8" w:color="auto"/>
            </w:tcBorders>
            <w:gridSpan w:val="3"/>
          </w:tcPr>
          <w:p>
            <w:pPr>
              <w:ind w:left="840"/>
              <w:spacing w:after="0"/>
              <w:rPr>
                <w:sz w:val="20"/>
                <w:szCs w:val="20"/>
                <w:color w:val="auto"/>
              </w:rPr>
            </w:pPr>
            <w:r>
              <w:rPr>
                <w:rFonts w:ascii="Arial" w:cs="Arial" w:eastAsia="Arial" w:hAnsi="Arial"/>
                <w:sz w:val="12"/>
                <w:szCs w:val="12"/>
                <w:b w:val="1"/>
                <w:bCs w:val="1"/>
                <w:color w:val="auto"/>
                <w:w w:val="94"/>
              </w:rPr>
              <w:t>June 30, 2021</w:t>
            </w:r>
          </w:p>
        </w:tc>
        <w:tc>
          <w:tcPr>
            <w:tcW w:w="7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7460" w:type="dxa"/>
            <w:vAlign w:val="bottom"/>
          </w:tcPr>
          <w:p>
            <w:pPr>
              <w:spacing w:after="0"/>
              <w:rPr>
                <w:sz w:val="12"/>
                <w:szCs w:val="12"/>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4"/>
              </w:rPr>
              <w:t>RMB</w:t>
            </w:r>
          </w:p>
        </w:tc>
        <w:tc>
          <w:tcPr>
            <w:tcW w:w="1600" w:type="dxa"/>
            <w:vAlign w:val="bottom"/>
            <w:gridSpan w:val="3"/>
          </w:tcPr>
          <w:p>
            <w:pPr>
              <w:ind w:left="440"/>
              <w:spacing w:after="0"/>
              <w:rPr>
                <w:sz w:val="20"/>
                <w:szCs w:val="20"/>
                <w:color w:val="auto"/>
              </w:rPr>
            </w:pPr>
            <w:r>
              <w:rPr>
                <w:rFonts w:ascii="Arial" w:cs="Arial" w:eastAsia="Arial" w:hAnsi="Arial"/>
                <w:sz w:val="12"/>
                <w:szCs w:val="12"/>
                <w:b w:val="1"/>
                <w:bCs w:val="1"/>
                <w:color w:val="auto"/>
              </w:rPr>
              <w:t>RMB</w:t>
            </w: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US$</w:t>
            </w:r>
          </w:p>
        </w:tc>
      </w:tr>
      <w:tr>
        <w:trPr>
          <w:trHeight w:val="149"/>
        </w:trPr>
        <w:tc>
          <w:tcPr>
            <w:tcW w:w="7460" w:type="dxa"/>
            <w:vAlign w:val="bottom"/>
            <w:shd w:val="clear" w:color="auto" w:fill="CFF0FC"/>
          </w:tcPr>
          <w:p>
            <w:pPr>
              <w:ind w:left="140"/>
              <w:spacing w:after="0"/>
              <w:rPr>
                <w:sz w:val="20"/>
                <w:szCs w:val="20"/>
                <w:color w:val="auto"/>
              </w:rPr>
            </w:pPr>
            <w:r>
              <w:rPr>
                <w:rFonts w:ascii="Arial" w:cs="Arial" w:eastAsia="Arial" w:hAnsi="Arial"/>
                <w:sz w:val="12"/>
                <w:szCs w:val="12"/>
                <w:b w:val="1"/>
                <w:bCs w:val="1"/>
                <w:color w:val="auto"/>
              </w:rPr>
              <w:t>ASSETS</w:t>
            </w:r>
          </w:p>
        </w:tc>
        <w:tc>
          <w:tcPr>
            <w:tcW w:w="1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7460" w:type="dxa"/>
            <w:vAlign w:val="bottom"/>
          </w:tcPr>
          <w:p>
            <w:pPr>
              <w:ind w:left="140"/>
              <w:spacing w:after="0"/>
              <w:rPr>
                <w:sz w:val="20"/>
                <w:szCs w:val="20"/>
                <w:color w:val="auto"/>
              </w:rPr>
            </w:pPr>
            <w:r>
              <w:rPr>
                <w:rFonts w:ascii="Arial" w:cs="Arial" w:eastAsia="Arial" w:hAnsi="Arial"/>
                <w:sz w:val="12"/>
                <w:szCs w:val="12"/>
                <w:b w:val="1"/>
                <w:bCs w:val="1"/>
                <w:color w:val="auto"/>
              </w:rPr>
              <w:t>Current assets</w:t>
            </w: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7460" w:type="dxa"/>
            <w:vAlign w:val="bottom"/>
            <w:shd w:val="clear" w:color="auto" w:fill="CFF0FC"/>
          </w:tcPr>
          <w:p>
            <w:pPr>
              <w:ind w:left="380"/>
              <w:spacing w:after="0"/>
              <w:rPr>
                <w:sz w:val="20"/>
                <w:szCs w:val="20"/>
                <w:color w:val="auto"/>
              </w:rPr>
            </w:pPr>
            <w:r>
              <w:rPr>
                <w:rFonts w:ascii="Arial" w:cs="Arial" w:eastAsia="Arial" w:hAnsi="Arial"/>
                <w:sz w:val="12"/>
                <w:szCs w:val="12"/>
                <w:color w:val="auto"/>
              </w:rPr>
              <w:t>Cash and cash equivalents</w:t>
            </w: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1,563,755</w:t>
            </w:r>
          </w:p>
        </w:tc>
        <w:tc>
          <w:tcPr>
            <w:tcW w:w="8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2,383,754</w:t>
            </w: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369,196</w:t>
            </w:r>
          </w:p>
        </w:tc>
        <w:tc>
          <w:tcPr>
            <w:tcW w:w="100" w:type="dxa"/>
            <w:vAlign w:val="bottom"/>
            <w:shd w:val="clear" w:color="auto" w:fill="CFF0FC"/>
          </w:tcPr>
          <w:p>
            <w:pPr>
              <w:spacing w:after="0"/>
              <w:rPr>
                <w:sz w:val="12"/>
                <w:szCs w:val="12"/>
                <w:color w:val="auto"/>
              </w:rPr>
            </w:pPr>
          </w:p>
        </w:tc>
      </w:tr>
      <w:tr>
        <w:trPr>
          <w:trHeight w:val="148"/>
        </w:trPr>
        <w:tc>
          <w:tcPr>
            <w:tcW w:w="7460" w:type="dxa"/>
            <w:vAlign w:val="bottom"/>
          </w:tcPr>
          <w:p>
            <w:pPr>
              <w:ind w:left="380"/>
              <w:spacing w:after="0"/>
              <w:rPr>
                <w:sz w:val="20"/>
                <w:szCs w:val="20"/>
                <w:color w:val="auto"/>
              </w:rPr>
            </w:pPr>
            <w:r>
              <w:rPr>
                <w:rFonts w:ascii="Arial" w:cs="Arial" w:eastAsia="Arial" w:hAnsi="Arial"/>
                <w:sz w:val="12"/>
                <w:szCs w:val="12"/>
                <w:color w:val="auto"/>
              </w:rPr>
              <w:t>Restricted cash</w:t>
            </w:r>
          </w:p>
        </w:tc>
        <w:tc>
          <w:tcPr>
            <w:tcW w:w="1260" w:type="dxa"/>
            <w:vAlign w:val="bottom"/>
          </w:tcPr>
          <w:p>
            <w:pPr>
              <w:jc w:val="right"/>
              <w:spacing w:after="0"/>
              <w:rPr>
                <w:sz w:val="20"/>
                <w:szCs w:val="20"/>
                <w:color w:val="auto"/>
              </w:rPr>
            </w:pPr>
            <w:r>
              <w:rPr>
                <w:rFonts w:ascii="Arial" w:cs="Arial" w:eastAsia="Arial" w:hAnsi="Arial"/>
                <w:sz w:val="12"/>
                <w:szCs w:val="12"/>
                <w:color w:val="auto"/>
              </w:rPr>
              <w:t>1,112,152</w:t>
            </w:r>
          </w:p>
        </w:tc>
        <w:tc>
          <w:tcPr>
            <w:tcW w:w="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991,752</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153,603</w:t>
            </w:r>
          </w:p>
        </w:tc>
        <w:tc>
          <w:tcPr>
            <w:tcW w:w="100" w:type="dxa"/>
            <w:vAlign w:val="bottom"/>
          </w:tcPr>
          <w:p>
            <w:pPr>
              <w:spacing w:after="0"/>
              <w:rPr>
                <w:sz w:val="12"/>
                <w:szCs w:val="12"/>
                <w:color w:val="auto"/>
              </w:rPr>
            </w:pPr>
          </w:p>
        </w:tc>
      </w:tr>
      <w:tr>
        <w:trPr>
          <w:trHeight w:val="148"/>
        </w:trPr>
        <w:tc>
          <w:tcPr>
            <w:tcW w:w="7460" w:type="dxa"/>
            <w:vAlign w:val="bottom"/>
            <w:shd w:val="clear" w:color="auto" w:fill="CFF0FC"/>
          </w:tcPr>
          <w:p>
            <w:pPr>
              <w:ind w:left="380"/>
              <w:spacing w:after="0"/>
              <w:rPr>
                <w:sz w:val="20"/>
                <w:szCs w:val="20"/>
                <w:color w:val="auto"/>
              </w:rPr>
            </w:pPr>
            <w:r>
              <w:rPr>
                <w:rFonts w:ascii="Arial" w:cs="Arial" w:eastAsia="Arial" w:hAnsi="Arial"/>
                <w:sz w:val="12"/>
                <w:szCs w:val="12"/>
                <w:color w:val="auto"/>
              </w:rPr>
              <w:t>Restricted time deposits</w:t>
            </w: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1,779,458</w:t>
            </w:r>
          </w:p>
        </w:tc>
        <w:tc>
          <w:tcPr>
            <w:tcW w:w="8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1,688,553</w:t>
            </w: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261,524</w:t>
            </w:r>
          </w:p>
        </w:tc>
        <w:tc>
          <w:tcPr>
            <w:tcW w:w="100" w:type="dxa"/>
            <w:vAlign w:val="bottom"/>
            <w:shd w:val="clear" w:color="auto" w:fill="CFF0FC"/>
          </w:tcPr>
          <w:p>
            <w:pPr>
              <w:spacing w:after="0"/>
              <w:rPr>
                <w:sz w:val="12"/>
                <w:szCs w:val="12"/>
                <w:color w:val="auto"/>
              </w:rPr>
            </w:pPr>
          </w:p>
        </w:tc>
      </w:tr>
      <w:tr>
        <w:trPr>
          <w:trHeight w:val="142"/>
        </w:trPr>
        <w:tc>
          <w:tcPr>
            <w:tcW w:w="7460" w:type="dxa"/>
            <w:vAlign w:val="bottom"/>
          </w:tcPr>
          <w:p>
            <w:pPr>
              <w:ind w:left="380"/>
              <w:spacing w:after="0"/>
              <w:rPr>
                <w:sz w:val="20"/>
                <w:szCs w:val="20"/>
                <w:color w:val="auto"/>
              </w:rPr>
            </w:pPr>
            <w:r>
              <w:rPr>
                <w:rFonts w:ascii="Arial" w:cs="Arial" w:eastAsia="Arial" w:hAnsi="Arial"/>
                <w:sz w:val="12"/>
                <w:szCs w:val="12"/>
                <w:color w:val="auto"/>
                <w:w w:val="90"/>
              </w:rPr>
              <w:t>Short-term financing receivables, net of allowance for credit losses of RMB508,013 and RMB587,650 as of December 31, 2020 and June 30, 2021,</w:t>
            </w: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1"/>
        </w:trPr>
        <w:tc>
          <w:tcPr>
            <w:tcW w:w="7460" w:type="dxa"/>
            <w:vAlign w:val="bottom"/>
          </w:tcPr>
          <w:p>
            <w:pPr>
              <w:ind w:left="380"/>
              <w:spacing w:after="0"/>
              <w:rPr>
                <w:sz w:val="20"/>
                <w:szCs w:val="20"/>
                <w:color w:val="auto"/>
              </w:rPr>
            </w:pPr>
            <w:r>
              <w:rPr>
                <w:rFonts w:ascii="Arial" w:cs="Arial" w:eastAsia="Arial" w:hAnsi="Arial"/>
                <w:sz w:val="12"/>
                <w:szCs w:val="12"/>
                <w:color w:val="auto"/>
              </w:rPr>
              <w:t>respectively</w:t>
            </w:r>
          </w:p>
        </w:tc>
        <w:tc>
          <w:tcPr>
            <w:tcW w:w="1260" w:type="dxa"/>
            <w:vAlign w:val="bottom"/>
          </w:tcPr>
          <w:p>
            <w:pPr>
              <w:jc w:val="right"/>
              <w:spacing w:after="0"/>
              <w:rPr>
                <w:sz w:val="20"/>
                <w:szCs w:val="20"/>
                <w:color w:val="auto"/>
              </w:rPr>
            </w:pPr>
            <w:r>
              <w:rPr>
                <w:rFonts w:ascii="Arial" w:cs="Arial" w:eastAsia="Arial" w:hAnsi="Arial"/>
                <w:sz w:val="12"/>
                <w:szCs w:val="12"/>
                <w:color w:val="auto"/>
              </w:rPr>
              <w:t>4,918,548</w:t>
            </w:r>
          </w:p>
        </w:tc>
        <w:tc>
          <w:tcPr>
            <w:tcW w:w="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3,481,588</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539,229</w:t>
            </w:r>
          </w:p>
        </w:tc>
        <w:tc>
          <w:tcPr>
            <w:tcW w:w="100" w:type="dxa"/>
            <w:vAlign w:val="bottom"/>
          </w:tcPr>
          <w:p>
            <w:pPr>
              <w:spacing w:after="0"/>
              <w:rPr>
                <w:sz w:val="12"/>
                <w:szCs w:val="12"/>
                <w:color w:val="auto"/>
              </w:rPr>
            </w:pPr>
          </w:p>
        </w:tc>
      </w:tr>
      <w:tr>
        <w:trPr>
          <w:trHeight w:val="148"/>
        </w:trPr>
        <w:tc>
          <w:tcPr>
            <w:tcW w:w="7460" w:type="dxa"/>
            <w:vAlign w:val="bottom"/>
            <w:shd w:val="clear" w:color="auto" w:fill="CFF0FC"/>
          </w:tcPr>
          <w:p>
            <w:pPr>
              <w:ind w:left="380"/>
              <w:spacing w:after="0"/>
              <w:rPr>
                <w:sz w:val="20"/>
                <w:szCs w:val="20"/>
                <w:color w:val="auto"/>
              </w:rPr>
            </w:pPr>
            <w:r>
              <w:rPr>
                <w:rFonts w:ascii="Arial" w:cs="Arial" w:eastAsia="Arial" w:hAnsi="Arial"/>
                <w:sz w:val="12"/>
                <w:szCs w:val="12"/>
                <w:color w:val="auto"/>
              </w:rPr>
              <w:t>Loans at fair value</w:t>
            </w: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381,393</w:t>
            </w:r>
          </w:p>
        </w:tc>
        <w:tc>
          <w:tcPr>
            <w:tcW w:w="8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192,389</w:t>
            </w: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29,797</w:t>
            </w:r>
          </w:p>
        </w:tc>
        <w:tc>
          <w:tcPr>
            <w:tcW w:w="100" w:type="dxa"/>
            <w:vAlign w:val="bottom"/>
            <w:shd w:val="clear" w:color="auto" w:fill="CFF0FC"/>
          </w:tcPr>
          <w:p>
            <w:pPr>
              <w:spacing w:after="0"/>
              <w:rPr>
                <w:sz w:val="12"/>
                <w:szCs w:val="12"/>
                <w:color w:val="auto"/>
              </w:rPr>
            </w:pPr>
          </w:p>
        </w:tc>
      </w:tr>
      <w:tr>
        <w:trPr>
          <w:trHeight w:val="148"/>
        </w:trPr>
        <w:tc>
          <w:tcPr>
            <w:tcW w:w="7460" w:type="dxa"/>
            <w:vAlign w:val="bottom"/>
          </w:tcPr>
          <w:p>
            <w:pPr>
              <w:ind w:left="380"/>
              <w:spacing w:after="0"/>
              <w:rPr>
                <w:sz w:val="20"/>
                <w:szCs w:val="20"/>
                <w:color w:val="auto"/>
              </w:rPr>
            </w:pPr>
            <w:r>
              <w:rPr>
                <w:rFonts w:ascii="Arial" w:cs="Arial" w:eastAsia="Arial" w:hAnsi="Arial"/>
                <w:sz w:val="12"/>
                <w:szCs w:val="12"/>
                <w:color w:val="auto"/>
                <w:w w:val="89"/>
              </w:rPr>
              <w:t>Accrued interest receivable, net of allowance for credit losses of RMB1,681 and RMB1,280 as of December 31, 2020 and June 30, 2021, respectively</w:t>
            </w:r>
          </w:p>
        </w:tc>
        <w:tc>
          <w:tcPr>
            <w:tcW w:w="1260" w:type="dxa"/>
            <w:vAlign w:val="bottom"/>
          </w:tcPr>
          <w:p>
            <w:pPr>
              <w:jc w:val="right"/>
              <w:spacing w:after="0"/>
              <w:rPr>
                <w:sz w:val="20"/>
                <w:szCs w:val="20"/>
                <w:color w:val="auto"/>
              </w:rPr>
            </w:pPr>
            <w:r>
              <w:rPr>
                <w:rFonts w:ascii="Arial" w:cs="Arial" w:eastAsia="Arial" w:hAnsi="Arial"/>
                <w:sz w:val="12"/>
                <w:szCs w:val="12"/>
                <w:color w:val="auto"/>
              </w:rPr>
              <w:t>79,793</w:t>
            </w:r>
          </w:p>
        </w:tc>
        <w:tc>
          <w:tcPr>
            <w:tcW w:w="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57,289</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8,873</w:t>
            </w:r>
          </w:p>
        </w:tc>
        <w:tc>
          <w:tcPr>
            <w:tcW w:w="100" w:type="dxa"/>
            <w:vAlign w:val="bottom"/>
          </w:tcPr>
          <w:p>
            <w:pPr>
              <w:spacing w:after="0"/>
              <w:rPr>
                <w:sz w:val="12"/>
                <w:szCs w:val="12"/>
                <w:color w:val="auto"/>
              </w:rPr>
            </w:pPr>
          </w:p>
        </w:tc>
      </w:tr>
      <w:tr>
        <w:trPr>
          <w:trHeight w:val="148"/>
        </w:trPr>
        <w:tc>
          <w:tcPr>
            <w:tcW w:w="7460" w:type="dxa"/>
            <w:vAlign w:val="bottom"/>
            <w:shd w:val="clear" w:color="auto" w:fill="CFF0FC"/>
          </w:tcPr>
          <w:p>
            <w:pPr>
              <w:ind w:left="380"/>
              <w:spacing w:after="0"/>
              <w:rPr>
                <w:sz w:val="20"/>
                <w:szCs w:val="20"/>
                <w:color w:val="auto"/>
              </w:rPr>
            </w:pPr>
            <w:r>
              <w:rPr>
                <w:rFonts w:ascii="Arial" w:cs="Arial" w:eastAsia="Arial" w:hAnsi="Arial"/>
                <w:sz w:val="12"/>
                <w:szCs w:val="12"/>
                <w:color w:val="auto"/>
              </w:rPr>
              <w:t>Prepaid expenses and other current assets</w:t>
            </w: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1,004,845</w:t>
            </w:r>
          </w:p>
        </w:tc>
        <w:tc>
          <w:tcPr>
            <w:tcW w:w="8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943,708</w:t>
            </w: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146,162</w:t>
            </w:r>
          </w:p>
        </w:tc>
        <w:tc>
          <w:tcPr>
            <w:tcW w:w="100" w:type="dxa"/>
            <w:vAlign w:val="bottom"/>
            <w:shd w:val="clear" w:color="auto" w:fill="CFF0FC"/>
          </w:tcPr>
          <w:p>
            <w:pPr>
              <w:spacing w:after="0"/>
              <w:rPr>
                <w:sz w:val="12"/>
                <w:szCs w:val="12"/>
                <w:color w:val="auto"/>
              </w:rPr>
            </w:pPr>
          </w:p>
        </w:tc>
      </w:tr>
      <w:tr>
        <w:trPr>
          <w:trHeight w:val="148"/>
        </w:trPr>
        <w:tc>
          <w:tcPr>
            <w:tcW w:w="7460" w:type="dxa"/>
            <w:vAlign w:val="bottom"/>
          </w:tcPr>
          <w:p>
            <w:pPr>
              <w:ind w:left="380"/>
              <w:spacing w:after="0"/>
              <w:rPr>
                <w:sz w:val="20"/>
                <w:szCs w:val="20"/>
                <w:color w:val="auto"/>
              </w:rPr>
            </w:pPr>
            <w:r>
              <w:rPr>
                <w:rFonts w:ascii="Arial" w:cs="Arial" w:eastAsia="Arial" w:hAnsi="Arial"/>
                <w:sz w:val="12"/>
                <w:szCs w:val="12"/>
                <w:color w:val="auto"/>
              </w:rPr>
              <w:t>Amounts due from related parties</w:t>
            </w:r>
          </w:p>
        </w:tc>
        <w:tc>
          <w:tcPr>
            <w:tcW w:w="1260" w:type="dxa"/>
            <w:vAlign w:val="bottom"/>
          </w:tcPr>
          <w:p>
            <w:pPr>
              <w:jc w:val="right"/>
              <w:spacing w:after="0"/>
              <w:rPr>
                <w:sz w:val="20"/>
                <w:szCs w:val="20"/>
                <w:color w:val="auto"/>
              </w:rPr>
            </w:pPr>
            <w:r>
              <w:rPr>
                <w:rFonts w:ascii="Arial" w:cs="Arial" w:eastAsia="Arial" w:hAnsi="Arial"/>
                <w:sz w:val="12"/>
                <w:szCs w:val="12"/>
                <w:color w:val="auto"/>
              </w:rPr>
              <w:t>941</w:t>
            </w:r>
          </w:p>
        </w:tc>
        <w:tc>
          <w:tcPr>
            <w:tcW w:w="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6,243</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967</w:t>
            </w:r>
          </w:p>
        </w:tc>
        <w:tc>
          <w:tcPr>
            <w:tcW w:w="100" w:type="dxa"/>
            <w:vAlign w:val="bottom"/>
          </w:tcPr>
          <w:p>
            <w:pPr>
              <w:spacing w:after="0"/>
              <w:rPr>
                <w:sz w:val="12"/>
                <w:szCs w:val="12"/>
                <w:color w:val="auto"/>
              </w:rPr>
            </w:pPr>
          </w:p>
        </w:tc>
      </w:tr>
      <w:tr>
        <w:trPr>
          <w:trHeight w:val="149"/>
        </w:trPr>
        <w:tc>
          <w:tcPr>
            <w:tcW w:w="7460" w:type="dxa"/>
            <w:vAlign w:val="bottom"/>
            <w:shd w:val="clear" w:color="auto" w:fill="CFF0FC"/>
          </w:tcPr>
          <w:p>
            <w:pPr>
              <w:ind w:left="380"/>
              <w:spacing w:after="0"/>
              <w:rPr>
                <w:sz w:val="20"/>
                <w:szCs w:val="20"/>
                <w:color w:val="auto"/>
              </w:rPr>
            </w:pPr>
            <w:r>
              <w:rPr>
                <w:rFonts w:ascii="Arial" w:cs="Arial" w:eastAsia="Arial" w:hAnsi="Arial"/>
                <w:sz w:val="12"/>
                <w:szCs w:val="12"/>
                <w:color w:val="auto"/>
              </w:rPr>
              <w:t>Deposits to insurance companies and guarantee companies</w:t>
            </w: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1,066,281</w:t>
            </w:r>
          </w:p>
        </w:tc>
        <w:tc>
          <w:tcPr>
            <w:tcW w:w="8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1,431,751</w:t>
            </w: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221,750</w:t>
            </w:r>
          </w:p>
        </w:tc>
        <w:tc>
          <w:tcPr>
            <w:tcW w:w="100" w:type="dxa"/>
            <w:vAlign w:val="bottom"/>
            <w:shd w:val="clear" w:color="auto" w:fill="CFF0FC"/>
          </w:tcPr>
          <w:p>
            <w:pPr>
              <w:spacing w:after="0"/>
              <w:rPr>
                <w:sz w:val="12"/>
                <w:szCs w:val="12"/>
                <w:color w:val="auto"/>
              </w:rPr>
            </w:pPr>
          </w:p>
        </w:tc>
      </w:tr>
      <w:tr>
        <w:trPr>
          <w:trHeight w:val="142"/>
        </w:trPr>
        <w:tc>
          <w:tcPr>
            <w:tcW w:w="7460" w:type="dxa"/>
            <w:vAlign w:val="bottom"/>
          </w:tcPr>
          <w:p>
            <w:pPr>
              <w:ind w:left="380"/>
              <w:spacing w:after="0"/>
              <w:rPr>
                <w:sz w:val="20"/>
                <w:szCs w:val="20"/>
                <w:color w:val="auto"/>
              </w:rPr>
            </w:pPr>
            <w:r>
              <w:rPr>
                <w:rFonts w:ascii="Arial" w:cs="Arial" w:eastAsia="Arial" w:hAnsi="Arial"/>
                <w:sz w:val="12"/>
                <w:szCs w:val="12"/>
                <w:color w:val="auto"/>
                <w:w w:val="91"/>
              </w:rPr>
              <w:t>Short-term guarantee receivables, net of allowance for credit losses of RMB58,771 and RMB56,707 as of December 31, 2020 and June 30, 2021,</w:t>
            </w: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1"/>
        </w:trPr>
        <w:tc>
          <w:tcPr>
            <w:tcW w:w="7460" w:type="dxa"/>
            <w:vAlign w:val="bottom"/>
          </w:tcPr>
          <w:p>
            <w:pPr>
              <w:ind w:left="380"/>
              <w:spacing w:after="0"/>
              <w:rPr>
                <w:sz w:val="20"/>
                <w:szCs w:val="20"/>
                <w:color w:val="auto"/>
              </w:rPr>
            </w:pPr>
            <w:r>
              <w:rPr>
                <w:rFonts w:ascii="Arial" w:cs="Arial" w:eastAsia="Arial" w:hAnsi="Arial"/>
                <w:sz w:val="12"/>
                <w:szCs w:val="12"/>
                <w:color w:val="auto"/>
              </w:rPr>
              <w:t>respectively</w:t>
            </w:r>
          </w:p>
        </w:tc>
        <w:tc>
          <w:tcPr>
            <w:tcW w:w="1260" w:type="dxa"/>
            <w:vAlign w:val="bottom"/>
          </w:tcPr>
          <w:p>
            <w:pPr>
              <w:jc w:val="right"/>
              <w:spacing w:after="0"/>
              <w:rPr>
                <w:sz w:val="20"/>
                <w:szCs w:val="20"/>
                <w:color w:val="auto"/>
              </w:rPr>
            </w:pPr>
            <w:r>
              <w:rPr>
                <w:rFonts w:ascii="Arial" w:cs="Arial" w:eastAsia="Arial" w:hAnsi="Arial"/>
                <w:sz w:val="12"/>
                <w:szCs w:val="12"/>
                <w:color w:val="auto"/>
              </w:rPr>
              <w:t>756,197</w:t>
            </w:r>
          </w:p>
        </w:tc>
        <w:tc>
          <w:tcPr>
            <w:tcW w:w="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531,177</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82,269</w:t>
            </w:r>
          </w:p>
        </w:tc>
        <w:tc>
          <w:tcPr>
            <w:tcW w:w="100" w:type="dxa"/>
            <w:vAlign w:val="bottom"/>
          </w:tcPr>
          <w:p>
            <w:pPr>
              <w:spacing w:after="0"/>
              <w:rPr>
                <w:sz w:val="12"/>
                <w:szCs w:val="12"/>
                <w:color w:val="auto"/>
              </w:rPr>
            </w:pPr>
          </w:p>
        </w:tc>
      </w:tr>
      <w:tr>
        <w:trPr>
          <w:trHeight w:val="142"/>
        </w:trPr>
        <w:tc>
          <w:tcPr>
            <w:tcW w:w="7460" w:type="dxa"/>
            <w:vAlign w:val="bottom"/>
            <w:shd w:val="clear" w:color="auto" w:fill="CFF0FC"/>
          </w:tcPr>
          <w:p>
            <w:pPr>
              <w:ind w:left="380"/>
              <w:spacing w:after="0"/>
              <w:rPr>
                <w:sz w:val="20"/>
                <w:szCs w:val="20"/>
                <w:color w:val="auto"/>
              </w:rPr>
            </w:pPr>
            <w:r>
              <w:rPr>
                <w:rFonts w:ascii="Arial" w:cs="Arial" w:eastAsia="Arial" w:hAnsi="Arial"/>
                <w:sz w:val="12"/>
                <w:szCs w:val="12"/>
                <w:color w:val="auto"/>
                <w:w w:val="89"/>
              </w:rPr>
              <w:t>Short-term contract assets and service fees receivable, net of allowance for credit losses of RMB65,607 and RMB208,037 as of December 31, 2020</w:t>
            </w:r>
          </w:p>
        </w:tc>
        <w:tc>
          <w:tcPr>
            <w:tcW w:w="1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1"/>
        </w:trPr>
        <w:tc>
          <w:tcPr>
            <w:tcW w:w="7460" w:type="dxa"/>
            <w:vAlign w:val="bottom"/>
            <w:shd w:val="clear" w:color="auto" w:fill="CFF0FC"/>
          </w:tcPr>
          <w:p>
            <w:pPr>
              <w:ind w:left="380"/>
              <w:spacing w:after="0"/>
              <w:rPr>
                <w:sz w:val="20"/>
                <w:szCs w:val="20"/>
                <w:color w:val="auto"/>
              </w:rPr>
            </w:pPr>
            <w:r>
              <w:rPr>
                <w:rFonts w:ascii="Arial" w:cs="Arial" w:eastAsia="Arial" w:hAnsi="Arial"/>
                <w:sz w:val="12"/>
                <w:szCs w:val="12"/>
                <w:color w:val="auto"/>
              </w:rPr>
              <w:t>and June 30, 2021, respectively</w:t>
            </w: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3,707,649</w:t>
            </w:r>
          </w:p>
        </w:tc>
        <w:tc>
          <w:tcPr>
            <w:tcW w:w="8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4,264,576</w:t>
            </w: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660,499</w:t>
            </w:r>
          </w:p>
        </w:tc>
        <w:tc>
          <w:tcPr>
            <w:tcW w:w="100" w:type="dxa"/>
            <w:vAlign w:val="bottom"/>
            <w:shd w:val="clear" w:color="auto" w:fill="CFF0FC"/>
          </w:tcPr>
          <w:p>
            <w:pPr>
              <w:spacing w:after="0"/>
              <w:rPr>
                <w:sz w:val="12"/>
                <w:szCs w:val="12"/>
                <w:color w:val="auto"/>
              </w:rPr>
            </w:pPr>
          </w:p>
        </w:tc>
      </w:tr>
      <w:tr>
        <w:trPr>
          <w:trHeight w:val="148"/>
        </w:trPr>
        <w:tc>
          <w:tcPr>
            <w:tcW w:w="7460" w:type="dxa"/>
            <w:vAlign w:val="bottom"/>
            <w:tcBorders>
              <w:bottom w:val="single" w:sz="8" w:color="CFF0FC"/>
            </w:tcBorders>
          </w:tcPr>
          <w:p>
            <w:pPr>
              <w:ind w:left="380"/>
              <w:spacing w:after="0"/>
              <w:rPr>
                <w:sz w:val="20"/>
                <w:szCs w:val="20"/>
                <w:color w:val="auto"/>
              </w:rPr>
            </w:pPr>
            <w:r>
              <w:rPr>
                <w:rFonts w:ascii="Arial" w:cs="Arial" w:eastAsia="Arial" w:hAnsi="Arial"/>
                <w:sz w:val="12"/>
                <w:szCs w:val="12"/>
                <w:color w:val="auto"/>
              </w:rPr>
              <w:t>Inventories, net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47,170</w:t>
            </w:r>
          </w:p>
        </w:tc>
        <w:tc>
          <w:tcPr>
            <w:tcW w:w="80" w:type="dxa"/>
            <w:vAlign w:val="bottom"/>
            <w:tcBorders>
              <w:bottom w:val="single" w:sz="8" w:color="CFF0FC"/>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46,565</w:t>
            </w:r>
          </w:p>
        </w:tc>
        <w:tc>
          <w:tcPr>
            <w:tcW w:w="100" w:type="dxa"/>
            <w:vAlign w:val="bottom"/>
            <w:tcBorders>
              <w:bottom w:val="single" w:sz="8" w:color="CFF0FC"/>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7,212</w:t>
            </w:r>
          </w:p>
        </w:tc>
        <w:tc>
          <w:tcPr>
            <w:tcW w:w="100" w:type="dxa"/>
            <w:vAlign w:val="bottom"/>
            <w:tcBorders>
              <w:bottom w:val="single" w:sz="8" w:color="CFF0FC"/>
            </w:tcBorders>
          </w:tcPr>
          <w:p>
            <w:pPr>
              <w:spacing w:after="0"/>
              <w:rPr>
                <w:sz w:val="12"/>
                <w:szCs w:val="12"/>
                <w:color w:val="auto"/>
              </w:rPr>
            </w:pPr>
          </w:p>
        </w:tc>
      </w:tr>
      <w:tr>
        <w:trPr>
          <w:trHeight w:val="142"/>
        </w:trPr>
        <w:tc>
          <w:tcPr>
            <w:tcW w:w="7460" w:type="dxa"/>
            <w:vAlign w:val="bottom"/>
            <w:shd w:val="clear" w:color="auto" w:fill="CFF0FC"/>
          </w:tcPr>
          <w:p>
            <w:pPr>
              <w:ind w:left="140"/>
              <w:spacing w:after="0"/>
              <w:rPr>
                <w:sz w:val="20"/>
                <w:szCs w:val="20"/>
                <w:color w:val="auto"/>
              </w:rPr>
            </w:pPr>
            <w:r>
              <w:rPr>
                <w:rFonts w:ascii="Arial" w:cs="Arial" w:eastAsia="Arial" w:hAnsi="Arial"/>
                <w:sz w:val="12"/>
                <w:szCs w:val="12"/>
                <w:b w:val="1"/>
                <w:bCs w:val="1"/>
                <w:color w:val="auto"/>
              </w:rPr>
              <w:t>Total current assets</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b w:val="1"/>
                <w:bCs w:val="1"/>
                <w:color w:val="auto"/>
              </w:rPr>
              <w:t>16,418,182</w:t>
            </w:r>
          </w:p>
        </w:tc>
        <w:tc>
          <w:tcPr>
            <w:tcW w:w="80" w:type="dxa"/>
            <w:vAlign w:val="bottom"/>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b w:val="1"/>
                <w:bCs w:val="1"/>
                <w:color w:val="auto"/>
              </w:rPr>
              <w:t>16,019,345</w:t>
            </w:r>
          </w:p>
        </w:tc>
        <w:tc>
          <w:tcPr>
            <w:tcW w:w="100" w:type="dxa"/>
            <w:vAlign w:val="bottom"/>
            <w:shd w:val="clear" w:color="auto" w:fill="CFF0FC"/>
          </w:tcPr>
          <w:p>
            <w:pPr>
              <w:spacing w:after="0"/>
              <w:rPr>
                <w:sz w:val="12"/>
                <w:szCs w:val="12"/>
                <w:color w:val="auto"/>
              </w:rPr>
            </w:pPr>
          </w:p>
        </w:tc>
        <w:tc>
          <w:tcPr>
            <w:tcW w:w="36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b w:val="1"/>
                <w:bCs w:val="1"/>
                <w:color w:val="auto"/>
              </w:rPr>
              <w:t>2,481,081</w:t>
            </w:r>
          </w:p>
        </w:tc>
        <w:tc>
          <w:tcPr>
            <w:tcW w:w="100" w:type="dxa"/>
            <w:vAlign w:val="bottom"/>
            <w:shd w:val="clear" w:color="auto" w:fill="CFF0FC"/>
          </w:tcPr>
          <w:p>
            <w:pPr>
              <w:spacing w:after="0"/>
              <w:rPr>
                <w:sz w:val="12"/>
                <w:szCs w:val="12"/>
                <w:color w:val="auto"/>
              </w:rPr>
            </w:pPr>
          </w:p>
        </w:tc>
      </w:tr>
      <w:tr>
        <w:trPr>
          <w:trHeight w:val="142"/>
        </w:trPr>
        <w:tc>
          <w:tcPr>
            <w:tcW w:w="7460" w:type="dxa"/>
            <w:vAlign w:val="bottom"/>
          </w:tcPr>
          <w:p>
            <w:pPr>
              <w:ind w:left="140"/>
              <w:spacing w:after="0" w:line="138" w:lineRule="exact"/>
              <w:rPr>
                <w:sz w:val="20"/>
                <w:szCs w:val="20"/>
                <w:color w:val="auto"/>
              </w:rPr>
            </w:pPr>
            <w:r>
              <w:rPr>
                <w:rFonts w:ascii="Arial" w:cs="Arial" w:eastAsia="Arial" w:hAnsi="Arial"/>
                <w:sz w:val="12"/>
                <w:szCs w:val="12"/>
                <w:b w:val="1"/>
                <w:bCs w:val="1"/>
                <w:color w:val="auto"/>
              </w:rPr>
              <w:t>Non</w:t>
            </w:r>
            <w:r>
              <w:rPr>
                <w:rFonts w:ascii="MS PGothic" w:cs="MS PGothic" w:eastAsia="MS PGothic" w:hAnsi="MS PGothic"/>
                <w:sz w:val="12"/>
                <w:szCs w:val="12"/>
                <w:b w:val="1"/>
                <w:bCs w:val="1"/>
                <w:color w:val="auto"/>
              </w:rPr>
              <w:t>‑</w:t>
            </w:r>
            <w:r>
              <w:rPr>
                <w:rFonts w:ascii="Arial" w:cs="Arial" w:eastAsia="Arial" w:hAnsi="Arial"/>
                <w:sz w:val="12"/>
                <w:szCs w:val="12"/>
                <w:b w:val="1"/>
                <w:bCs w:val="1"/>
                <w:color w:val="auto"/>
              </w:rPr>
              <w:t>current assets</w:t>
            </w: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7460" w:type="dxa"/>
            <w:vAlign w:val="bottom"/>
            <w:shd w:val="clear" w:color="auto" w:fill="CFF0FC"/>
          </w:tcPr>
          <w:p>
            <w:pPr>
              <w:ind w:left="380"/>
              <w:spacing w:after="0"/>
              <w:rPr>
                <w:sz w:val="20"/>
                <w:szCs w:val="20"/>
                <w:color w:val="auto"/>
              </w:rPr>
            </w:pPr>
            <w:r>
              <w:rPr>
                <w:rFonts w:ascii="Arial" w:cs="Arial" w:eastAsia="Arial" w:hAnsi="Arial"/>
                <w:sz w:val="12"/>
                <w:szCs w:val="12"/>
                <w:color w:val="auto"/>
              </w:rPr>
              <w:t>Restricted cash</w:t>
            </w: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163,999</w:t>
            </w:r>
          </w:p>
        </w:tc>
        <w:tc>
          <w:tcPr>
            <w:tcW w:w="8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163,570</w:t>
            </w: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25,334</w:t>
            </w:r>
          </w:p>
        </w:tc>
        <w:tc>
          <w:tcPr>
            <w:tcW w:w="100" w:type="dxa"/>
            <w:vAlign w:val="bottom"/>
            <w:shd w:val="clear" w:color="auto" w:fill="CFF0FC"/>
          </w:tcPr>
          <w:p>
            <w:pPr>
              <w:spacing w:after="0"/>
              <w:rPr>
                <w:sz w:val="12"/>
                <w:szCs w:val="12"/>
                <w:color w:val="auto"/>
              </w:rPr>
            </w:pPr>
          </w:p>
        </w:tc>
      </w:tr>
      <w:tr>
        <w:trPr>
          <w:trHeight w:val="142"/>
        </w:trPr>
        <w:tc>
          <w:tcPr>
            <w:tcW w:w="7460" w:type="dxa"/>
            <w:vAlign w:val="bottom"/>
          </w:tcPr>
          <w:p>
            <w:pPr>
              <w:ind w:left="380"/>
              <w:spacing w:after="0" w:line="138" w:lineRule="exact"/>
              <w:rPr>
                <w:sz w:val="20"/>
                <w:szCs w:val="20"/>
                <w:color w:val="auto"/>
              </w:rPr>
            </w:pPr>
            <w:r>
              <w:rPr>
                <w:rFonts w:ascii="Arial" w:cs="Arial" w:eastAsia="Arial" w:hAnsi="Arial"/>
                <w:sz w:val="12"/>
                <w:szCs w:val="12"/>
                <w:color w:val="auto"/>
                <w:w w:val="92"/>
              </w:rPr>
              <w:t>Long</w:t>
            </w:r>
            <w:r>
              <w:rPr>
                <w:rFonts w:ascii="MS PGothic" w:cs="MS PGothic" w:eastAsia="MS PGothic" w:hAnsi="MS PGothic"/>
                <w:sz w:val="12"/>
                <w:szCs w:val="12"/>
                <w:color w:val="auto"/>
                <w:w w:val="92"/>
              </w:rPr>
              <w:t>‑</w:t>
            </w:r>
            <w:r>
              <w:rPr>
                <w:rFonts w:ascii="Arial" w:cs="Arial" w:eastAsia="Arial" w:hAnsi="Arial"/>
                <w:sz w:val="12"/>
                <w:szCs w:val="12"/>
                <w:color w:val="auto"/>
                <w:w w:val="92"/>
              </w:rPr>
              <w:t>term financing receivables, net of allowance for credit losses of RMB21,149 and RMB22,406 as of December 31, 2020 and June 30, 2021</w:t>
            </w: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1"/>
        </w:trPr>
        <w:tc>
          <w:tcPr>
            <w:tcW w:w="7460" w:type="dxa"/>
            <w:vAlign w:val="bottom"/>
          </w:tcPr>
          <w:p>
            <w:pPr>
              <w:ind w:left="380"/>
              <w:spacing w:after="0"/>
              <w:rPr>
                <w:sz w:val="20"/>
                <w:szCs w:val="20"/>
                <w:color w:val="auto"/>
              </w:rPr>
            </w:pPr>
            <w:r>
              <w:rPr>
                <w:rFonts w:ascii="Arial" w:cs="Arial" w:eastAsia="Arial" w:hAnsi="Arial"/>
                <w:sz w:val="12"/>
                <w:szCs w:val="12"/>
                <w:color w:val="auto"/>
              </w:rPr>
              <w:t>respectively</w:t>
            </w:r>
          </w:p>
        </w:tc>
        <w:tc>
          <w:tcPr>
            <w:tcW w:w="1260" w:type="dxa"/>
            <w:vAlign w:val="bottom"/>
          </w:tcPr>
          <w:p>
            <w:pPr>
              <w:jc w:val="right"/>
              <w:spacing w:after="0"/>
              <w:rPr>
                <w:sz w:val="20"/>
                <w:szCs w:val="20"/>
                <w:color w:val="auto"/>
              </w:rPr>
            </w:pPr>
            <w:r>
              <w:rPr>
                <w:rFonts w:ascii="Arial" w:cs="Arial" w:eastAsia="Arial" w:hAnsi="Arial"/>
                <w:sz w:val="12"/>
                <w:szCs w:val="12"/>
                <w:color w:val="auto"/>
              </w:rPr>
              <w:t>204,761</w:t>
            </w:r>
          </w:p>
        </w:tc>
        <w:tc>
          <w:tcPr>
            <w:tcW w:w="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134,596</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20,846</w:t>
            </w:r>
          </w:p>
        </w:tc>
        <w:tc>
          <w:tcPr>
            <w:tcW w:w="100" w:type="dxa"/>
            <w:vAlign w:val="bottom"/>
          </w:tcPr>
          <w:p>
            <w:pPr>
              <w:spacing w:after="0"/>
              <w:rPr>
                <w:sz w:val="12"/>
                <w:szCs w:val="12"/>
                <w:color w:val="auto"/>
              </w:rPr>
            </w:pPr>
          </w:p>
        </w:tc>
      </w:tr>
      <w:tr>
        <w:trPr>
          <w:trHeight w:val="142"/>
        </w:trPr>
        <w:tc>
          <w:tcPr>
            <w:tcW w:w="7460" w:type="dxa"/>
            <w:vAlign w:val="bottom"/>
            <w:shd w:val="clear" w:color="auto" w:fill="CFF0FC"/>
          </w:tcPr>
          <w:p>
            <w:pPr>
              <w:ind w:left="380"/>
              <w:spacing w:after="0"/>
              <w:rPr>
                <w:sz w:val="20"/>
                <w:szCs w:val="20"/>
                <w:color w:val="auto"/>
              </w:rPr>
            </w:pPr>
            <w:r>
              <w:rPr>
                <w:rFonts w:ascii="Arial" w:cs="Arial" w:eastAsia="Arial" w:hAnsi="Arial"/>
                <w:sz w:val="12"/>
                <w:szCs w:val="12"/>
                <w:color w:val="auto"/>
                <w:w w:val="91"/>
              </w:rPr>
              <w:t>Long-term guarantee receivables, net of allowance for credit losses of RMB16,994 and RMB15,001 as of December 31, 2020 and June 30, 2021,</w:t>
            </w:r>
          </w:p>
        </w:tc>
        <w:tc>
          <w:tcPr>
            <w:tcW w:w="1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1"/>
        </w:trPr>
        <w:tc>
          <w:tcPr>
            <w:tcW w:w="7460" w:type="dxa"/>
            <w:vAlign w:val="bottom"/>
            <w:shd w:val="clear" w:color="auto" w:fill="CFF0FC"/>
          </w:tcPr>
          <w:p>
            <w:pPr>
              <w:ind w:left="380"/>
              <w:spacing w:after="0"/>
              <w:rPr>
                <w:sz w:val="20"/>
                <w:szCs w:val="20"/>
                <w:color w:val="auto"/>
              </w:rPr>
            </w:pPr>
            <w:r>
              <w:rPr>
                <w:rFonts w:ascii="Arial" w:cs="Arial" w:eastAsia="Arial" w:hAnsi="Arial"/>
                <w:sz w:val="12"/>
                <w:szCs w:val="12"/>
                <w:color w:val="auto"/>
              </w:rPr>
              <w:t>respectively</w:t>
            </w: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218,654</w:t>
            </w:r>
          </w:p>
        </w:tc>
        <w:tc>
          <w:tcPr>
            <w:tcW w:w="8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142,529</w:t>
            </w: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22,075</w:t>
            </w:r>
          </w:p>
        </w:tc>
        <w:tc>
          <w:tcPr>
            <w:tcW w:w="100" w:type="dxa"/>
            <w:vAlign w:val="bottom"/>
            <w:shd w:val="clear" w:color="auto" w:fill="CFF0FC"/>
          </w:tcPr>
          <w:p>
            <w:pPr>
              <w:spacing w:after="0"/>
              <w:rPr>
                <w:sz w:val="12"/>
                <w:szCs w:val="12"/>
                <w:color w:val="auto"/>
              </w:rPr>
            </w:pPr>
          </w:p>
        </w:tc>
      </w:tr>
      <w:tr>
        <w:trPr>
          <w:trHeight w:val="142"/>
        </w:trPr>
        <w:tc>
          <w:tcPr>
            <w:tcW w:w="7460" w:type="dxa"/>
            <w:vAlign w:val="bottom"/>
          </w:tcPr>
          <w:p>
            <w:pPr>
              <w:ind w:left="380"/>
              <w:spacing w:after="0"/>
              <w:rPr>
                <w:sz w:val="20"/>
                <w:szCs w:val="20"/>
                <w:color w:val="auto"/>
              </w:rPr>
            </w:pPr>
            <w:r>
              <w:rPr>
                <w:rFonts w:ascii="Arial" w:cs="Arial" w:eastAsia="Arial" w:hAnsi="Arial"/>
                <w:sz w:val="12"/>
                <w:szCs w:val="12"/>
                <w:color w:val="auto"/>
                <w:w w:val="90"/>
              </w:rPr>
              <w:t>Long-term contract assets and service fees receivable, net of allowance for credit losses of RMB18,970 and RMB55,032 as of December 31, 2020</w:t>
            </w: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1"/>
        </w:trPr>
        <w:tc>
          <w:tcPr>
            <w:tcW w:w="7460" w:type="dxa"/>
            <w:vAlign w:val="bottom"/>
          </w:tcPr>
          <w:p>
            <w:pPr>
              <w:ind w:left="380"/>
              <w:spacing w:after="0"/>
              <w:rPr>
                <w:sz w:val="20"/>
                <w:szCs w:val="20"/>
                <w:color w:val="auto"/>
              </w:rPr>
            </w:pPr>
            <w:r>
              <w:rPr>
                <w:rFonts w:ascii="Arial" w:cs="Arial" w:eastAsia="Arial" w:hAnsi="Arial"/>
                <w:sz w:val="12"/>
                <w:szCs w:val="12"/>
                <w:color w:val="auto"/>
              </w:rPr>
              <w:t>and June 30, 2021, respectively</w:t>
            </w:r>
          </w:p>
        </w:tc>
        <w:tc>
          <w:tcPr>
            <w:tcW w:w="1260" w:type="dxa"/>
            <w:vAlign w:val="bottom"/>
          </w:tcPr>
          <w:p>
            <w:pPr>
              <w:jc w:val="right"/>
              <w:spacing w:after="0"/>
              <w:rPr>
                <w:sz w:val="20"/>
                <w:szCs w:val="20"/>
                <w:color w:val="auto"/>
              </w:rPr>
            </w:pPr>
            <w:r>
              <w:rPr>
                <w:rFonts w:ascii="Arial" w:cs="Arial" w:eastAsia="Arial" w:hAnsi="Arial"/>
                <w:sz w:val="12"/>
                <w:szCs w:val="12"/>
                <w:color w:val="auto"/>
              </w:rPr>
              <w:t>481,989</w:t>
            </w:r>
          </w:p>
        </w:tc>
        <w:tc>
          <w:tcPr>
            <w:tcW w:w="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542,186</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83,974</w:t>
            </w:r>
          </w:p>
        </w:tc>
        <w:tc>
          <w:tcPr>
            <w:tcW w:w="100" w:type="dxa"/>
            <w:vAlign w:val="bottom"/>
          </w:tcPr>
          <w:p>
            <w:pPr>
              <w:spacing w:after="0"/>
              <w:rPr>
                <w:sz w:val="12"/>
                <w:szCs w:val="12"/>
                <w:color w:val="auto"/>
              </w:rPr>
            </w:pPr>
          </w:p>
        </w:tc>
      </w:tr>
      <w:tr>
        <w:trPr>
          <w:trHeight w:val="148"/>
        </w:trPr>
        <w:tc>
          <w:tcPr>
            <w:tcW w:w="7460" w:type="dxa"/>
            <w:vAlign w:val="bottom"/>
            <w:shd w:val="clear" w:color="auto" w:fill="CFF0FC"/>
          </w:tcPr>
          <w:p>
            <w:pPr>
              <w:ind w:left="380"/>
              <w:spacing w:after="0"/>
              <w:rPr>
                <w:sz w:val="20"/>
                <w:szCs w:val="20"/>
                <w:color w:val="auto"/>
              </w:rPr>
            </w:pPr>
            <w:r>
              <w:rPr>
                <w:rFonts w:ascii="Arial" w:cs="Arial" w:eastAsia="Arial" w:hAnsi="Arial"/>
                <w:sz w:val="12"/>
                <w:szCs w:val="12"/>
                <w:color w:val="auto"/>
              </w:rPr>
              <w:t>Property, equipment and software, net</w:t>
            </w: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125,694</w:t>
            </w:r>
          </w:p>
        </w:tc>
        <w:tc>
          <w:tcPr>
            <w:tcW w:w="8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132,099</w:t>
            </w: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20,460</w:t>
            </w:r>
          </w:p>
        </w:tc>
        <w:tc>
          <w:tcPr>
            <w:tcW w:w="100" w:type="dxa"/>
            <w:vAlign w:val="bottom"/>
            <w:shd w:val="clear" w:color="auto" w:fill="CFF0FC"/>
          </w:tcPr>
          <w:p>
            <w:pPr>
              <w:spacing w:after="0"/>
              <w:rPr>
                <w:sz w:val="12"/>
                <w:szCs w:val="12"/>
                <w:color w:val="auto"/>
              </w:rPr>
            </w:pPr>
          </w:p>
        </w:tc>
      </w:tr>
      <w:tr>
        <w:trPr>
          <w:trHeight w:val="148"/>
        </w:trPr>
        <w:tc>
          <w:tcPr>
            <w:tcW w:w="7460" w:type="dxa"/>
            <w:vAlign w:val="bottom"/>
          </w:tcPr>
          <w:p>
            <w:pPr>
              <w:ind w:left="380"/>
              <w:spacing w:after="0"/>
              <w:rPr>
                <w:sz w:val="20"/>
                <w:szCs w:val="20"/>
                <w:color w:val="auto"/>
              </w:rPr>
            </w:pPr>
            <w:r>
              <w:rPr>
                <w:rFonts w:ascii="Arial" w:cs="Arial" w:eastAsia="Arial" w:hAnsi="Arial"/>
                <w:sz w:val="12"/>
                <w:szCs w:val="12"/>
                <w:color w:val="auto"/>
              </w:rPr>
              <w:t>Land use rights, net</w:t>
            </w:r>
          </w:p>
        </w:tc>
        <w:tc>
          <w:tcPr>
            <w:tcW w:w="1260" w:type="dxa"/>
            <w:vAlign w:val="bottom"/>
          </w:tcPr>
          <w:p>
            <w:pPr>
              <w:jc w:val="right"/>
              <w:spacing w:after="0"/>
              <w:rPr>
                <w:sz w:val="20"/>
                <w:szCs w:val="20"/>
                <w:color w:val="auto"/>
              </w:rPr>
            </w:pPr>
            <w:r>
              <w:rPr>
                <w:rFonts w:ascii="Arial" w:cs="Arial" w:eastAsia="Arial" w:hAnsi="Arial"/>
                <w:sz w:val="12"/>
                <w:szCs w:val="12"/>
                <w:color w:val="auto"/>
              </w:rPr>
              <w:t>1,000,467</w:t>
            </w:r>
          </w:p>
        </w:tc>
        <w:tc>
          <w:tcPr>
            <w:tcW w:w="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983,267</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152,289</w:t>
            </w:r>
          </w:p>
        </w:tc>
        <w:tc>
          <w:tcPr>
            <w:tcW w:w="100" w:type="dxa"/>
            <w:vAlign w:val="bottom"/>
          </w:tcPr>
          <w:p>
            <w:pPr>
              <w:spacing w:after="0"/>
              <w:rPr>
                <w:sz w:val="12"/>
                <w:szCs w:val="12"/>
                <w:color w:val="auto"/>
              </w:rPr>
            </w:pPr>
          </w:p>
        </w:tc>
      </w:tr>
      <w:tr>
        <w:trPr>
          <w:trHeight w:val="148"/>
        </w:trPr>
        <w:tc>
          <w:tcPr>
            <w:tcW w:w="7460" w:type="dxa"/>
            <w:vAlign w:val="bottom"/>
            <w:shd w:val="clear" w:color="auto" w:fill="CFF0FC"/>
          </w:tcPr>
          <w:p>
            <w:pPr>
              <w:ind w:left="380"/>
              <w:spacing w:after="0" w:line="138" w:lineRule="exact"/>
              <w:rPr>
                <w:sz w:val="20"/>
                <w:szCs w:val="20"/>
                <w:color w:val="auto"/>
              </w:rPr>
            </w:pPr>
            <w:r>
              <w:rPr>
                <w:rFonts w:ascii="Arial" w:cs="Arial" w:eastAsia="Arial" w:hAnsi="Arial"/>
                <w:sz w:val="12"/>
                <w:szCs w:val="12"/>
                <w:color w:val="auto"/>
              </w:rPr>
              <w:t>Long</w:t>
            </w:r>
            <w:r>
              <w:rPr>
                <w:rFonts w:ascii="MS PGothic" w:cs="MS PGothic" w:eastAsia="MS PGothic" w:hAnsi="MS PGothic"/>
                <w:sz w:val="12"/>
                <w:szCs w:val="12"/>
                <w:color w:val="auto"/>
              </w:rPr>
              <w:t>‑</w:t>
            </w:r>
            <w:r>
              <w:rPr>
                <w:rFonts w:ascii="Arial" w:cs="Arial" w:eastAsia="Arial" w:hAnsi="Arial"/>
                <w:sz w:val="12"/>
                <w:szCs w:val="12"/>
                <w:color w:val="auto"/>
              </w:rPr>
              <w:t>term investments</w:t>
            </w: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521,802</w:t>
            </w:r>
          </w:p>
        </w:tc>
        <w:tc>
          <w:tcPr>
            <w:tcW w:w="8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472,919</w:t>
            </w: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73,246</w:t>
            </w:r>
          </w:p>
        </w:tc>
        <w:tc>
          <w:tcPr>
            <w:tcW w:w="100" w:type="dxa"/>
            <w:vAlign w:val="bottom"/>
            <w:shd w:val="clear" w:color="auto" w:fill="CFF0FC"/>
          </w:tcPr>
          <w:p>
            <w:pPr>
              <w:spacing w:after="0"/>
              <w:rPr>
                <w:sz w:val="12"/>
                <w:szCs w:val="12"/>
                <w:color w:val="auto"/>
              </w:rPr>
            </w:pPr>
          </w:p>
        </w:tc>
      </w:tr>
      <w:tr>
        <w:trPr>
          <w:trHeight w:val="148"/>
        </w:trPr>
        <w:tc>
          <w:tcPr>
            <w:tcW w:w="7460" w:type="dxa"/>
            <w:vAlign w:val="bottom"/>
          </w:tcPr>
          <w:p>
            <w:pPr>
              <w:ind w:left="380"/>
              <w:spacing w:after="0"/>
              <w:rPr>
                <w:sz w:val="20"/>
                <w:szCs w:val="20"/>
                <w:color w:val="auto"/>
              </w:rPr>
            </w:pPr>
            <w:r>
              <w:rPr>
                <w:rFonts w:ascii="Arial" w:cs="Arial" w:eastAsia="Arial" w:hAnsi="Arial"/>
                <w:sz w:val="12"/>
                <w:szCs w:val="12"/>
                <w:color w:val="auto"/>
              </w:rPr>
              <w:t>Deferred tax assets</w:t>
            </w:r>
          </w:p>
        </w:tc>
        <w:tc>
          <w:tcPr>
            <w:tcW w:w="1260" w:type="dxa"/>
            <w:vAlign w:val="bottom"/>
          </w:tcPr>
          <w:p>
            <w:pPr>
              <w:jc w:val="right"/>
              <w:spacing w:after="0"/>
              <w:rPr>
                <w:sz w:val="20"/>
                <w:szCs w:val="20"/>
                <w:color w:val="auto"/>
              </w:rPr>
            </w:pPr>
            <w:r>
              <w:rPr>
                <w:rFonts w:ascii="Arial" w:cs="Arial" w:eastAsia="Arial" w:hAnsi="Arial"/>
                <w:sz w:val="12"/>
                <w:szCs w:val="12"/>
                <w:color w:val="auto"/>
              </w:rPr>
              <w:t>747,332</w:t>
            </w:r>
          </w:p>
        </w:tc>
        <w:tc>
          <w:tcPr>
            <w:tcW w:w="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804,785</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124,645</w:t>
            </w:r>
          </w:p>
        </w:tc>
        <w:tc>
          <w:tcPr>
            <w:tcW w:w="100" w:type="dxa"/>
            <w:vAlign w:val="bottom"/>
          </w:tcPr>
          <w:p>
            <w:pPr>
              <w:spacing w:after="0"/>
              <w:rPr>
                <w:sz w:val="12"/>
                <w:szCs w:val="12"/>
                <w:color w:val="auto"/>
              </w:rPr>
            </w:pPr>
          </w:p>
        </w:tc>
      </w:tr>
      <w:tr>
        <w:trPr>
          <w:trHeight w:val="148"/>
        </w:trPr>
        <w:tc>
          <w:tcPr>
            <w:tcW w:w="7460" w:type="dxa"/>
            <w:vAlign w:val="bottom"/>
            <w:shd w:val="clear" w:color="auto" w:fill="CFF0FC"/>
          </w:tcPr>
          <w:p>
            <w:pPr>
              <w:ind w:left="380"/>
              <w:spacing w:after="0"/>
              <w:rPr>
                <w:sz w:val="20"/>
                <w:szCs w:val="20"/>
                <w:color w:val="auto"/>
              </w:rPr>
            </w:pPr>
            <w:r>
              <w:rPr>
                <w:rFonts w:ascii="Arial" w:cs="Arial" w:eastAsia="Arial" w:hAnsi="Arial"/>
                <w:sz w:val="12"/>
                <w:szCs w:val="12"/>
                <w:color w:val="auto"/>
              </w:rPr>
              <w:t>Other assets</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462,285</w:t>
            </w:r>
          </w:p>
        </w:tc>
        <w:tc>
          <w:tcPr>
            <w:tcW w:w="80" w:type="dxa"/>
            <w:vAlign w:val="bottom"/>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729,601</w:t>
            </w:r>
          </w:p>
        </w:tc>
        <w:tc>
          <w:tcPr>
            <w:tcW w:w="100" w:type="dxa"/>
            <w:vAlign w:val="bottom"/>
            <w:shd w:val="clear" w:color="auto" w:fill="CFF0FC"/>
          </w:tcPr>
          <w:p>
            <w:pPr>
              <w:spacing w:after="0"/>
              <w:rPr>
                <w:sz w:val="12"/>
                <w:szCs w:val="12"/>
                <w:color w:val="auto"/>
              </w:rPr>
            </w:pPr>
          </w:p>
        </w:tc>
        <w:tc>
          <w:tcPr>
            <w:tcW w:w="36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113,001</w:t>
            </w:r>
          </w:p>
        </w:tc>
        <w:tc>
          <w:tcPr>
            <w:tcW w:w="100" w:type="dxa"/>
            <w:vAlign w:val="bottom"/>
            <w:shd w:val="clear" w:color="auto" w:fill="CFF0FC"/>
          </w:tcPr>
          <w:p>
            <w:pPr>
              <w:spacing w:after="0"/>
              <w:rPr>
                <w:sz w:val="12"/>
                <w:szCs w:val="12"/>
                <w:color w:val="auto"/>
              </w:rPr>
            </w:pPr>
          </w:p>
        </w:tc>
      </w:tr>
      <w:tr>
        <w:trPr>
          <w:trHeight w:val="142"/>
        </w:trPr>
        <w:tc>
          <w:tcPr>
            <w:tcW w:w="7460" w:type="dxa"/>
            <w:vAlign w:val="bottom"/>
            <w:tcBorders>
              <w:bottom w:val="single" w:sz="8" w:color="CFF0FC"/>
            </w:tcBorders>
          </w:tcPr>
          <w:p>
            <w:pPr>
              <w:ind w:left="140"/>
              <w:spacing w:after="0" w:line="138" w:lineRule="exact"/>
              <w:rPr>
                <w:sz w:val="20"/>
                <w:szCs w:val="20"/>
                <w:color w:val="auto"/>
              </w:rPr>
            </w:pPr>
            <w:r>
              <w:rPr>
                <w:rFonts w:ascii="Arial" w:cs="Arial" w:eastAsia="Arial" w:hAnsi="Arial"/>
                <w:sz w:val="12"/>
                <w:szCs w:val="12"/>
                <w:b w:val="1"/>
                <w:bCs w:val="1"/>
                <w:color w:val="auto"/>
              </w:rPr>
              <w:t>Total non</w:t>
            </w:r>
            <w:r>
              <w:rPr>
                <w:rFonts w:ascii="MS PGothic" w:cs="MS PGothic" w:eastAsia="MS PGothic" w:hAnsi="MS PGothic"/>
                <w:sz w:val="12"/>
                <w:szCs w:val="12"/>
                <w:b w:val="1"/>
                <w:bCs w:val="1"/>
                <w:color w:val="auto"/>
              </w:rPr>
              <w:t>‑</w:t>
            </w:r>
            <w:r>
              <w:rPr>
                <w:rFonts w:ascii="Arial" w:cs="Arial" w:eastAsia="Arial" w:hAnsi="Arial"/>
                <w:sz w:val="12"/>
                <w:szCs w:val="12"/>
                <w:b w:val="1"/>
                <w:bCs w:val="1"/>
                <w:color w:val="auto"/>
              </w:rPr>
              <w:t>current assets</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3,926,983</w:t>
            </w:r>
          </w:p>
        </w:tc>
        <w:tc>
          <w:tcPr>
            <w:tcW w:w="80" w:type="dxa"/>
            <w:vAlign w:val="bottom"/>
            <w:tcBorders>
              <w:bottom w:val="single" w:sz="8" w:color="CFF0FC"/>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4,105,552</w:t>
            </w:r>
          </w:p>
        </w:tc>
        <w:tc>
          <w:tcPr>
            <w:tcW w:w="100" w:type="dxa"/>
            <w:vAlign w:val="bottom"/>
            <w:tcBorders>
              <w:bottom w:val="single" w:sz="8" w:color="CFF0FC"/>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635,870</w:t>
            </w:r>
          </w:p>
        </w:tc>
        <w:tc>
          <w:tcPr>
            <w:tcW w:w="100" w:type="dxa"/>
            <w:vAlign w:val="bottom"/>
            <w:tcBorders>
              <w:bottom w:val="single" w:sz="8" w:color="CFF0FC"/>
            </w:tcBorders>
          </w:tcPr>
          <w:p>
            <w:pPr>
              <w:spacing w:after="0"/>
              <w:rPr>
                <w:sz w:val="12"/>
                <w:szCs w:val="12"/>
                <w:color w:val="auto"/>
              </w:rPr>
            </w:pPr>
          </w:p>
        </w:tc>
      </w:tr>
      <w:tr>
        <w:trPr>
          <w:trHeight w:val="142"/>
        </w:trPr>
        <w:tc>
          <w:tcPr>
            <w:tcW w:w="74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2"/>
                <w:szCs w:val="12"/>
                <w:b w:val="1"/>
                <w:bCs w:val="1"/>
                <w:color w:val="auto"/>
              </w:rPr>
              <w:t>TOTAL ASSETS</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b w:val="1"/>
                <w:bCs w:val="1"/>
                <w:color w:val="auto"/>
              </w:rPr>
              <w:t>20,345,165</w:t>
            </w:r>
          </w:p>
        </w:tc>
        <w:tc>
          <w:tcPr>
            <w:tcW w:w="80" w:type="dxa"/>
            <w:vAlign w:val="bottom"/>
            <w:tcBorders>
              <w:bottom w:val="single" w:sz="8" w:color="CFF0FC"/>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b w:val="1"/>
                <w:bCs w:val="1"/>
                <w:color w:val="auto"/>
              </w:rPr>
              <w:t>20,124,897</w:t>
            </w:r>
          </w:p>
        </w:tc>
        <w:tc>
          <w:tcPr>
            <w:tcW w:w="100" w:type="dxa"/>
            <w:vAlign w:val="bottom"/>
            <w:tcBorders>
              <w:bottom w:val="single" w:sz="8" w:color="CFF0FC"/>
            </w:tcBorders>
            <w:shd w:val="clear" w:color="auto" w:fill="CFF0FC"/>
          </w:tcPr>
          <w:p>
            <w:pPr>
              <w:spacing w:after="0"/>
              <w:rPr>
                <w:sz w:val="12"/>
                <w:szCs w:val="12"/>
                <w:color w:val="auto"/>
              </w:rPr>
            </w:pPr>
          </w:p>
        </w:tc>
        <w:tc>
          <w:tcPr>
            <w:tcW w:w="36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b w:val="1"/>
                <w:bCs w:val="1"/>
                <w:color w:val="auto"/>
              </w:rPr>
              <w:t>3,116,951</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20"/>
        </w:trPr>
        <w:tc>
          <w:tcPr>
            <w:tcW w:w="74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74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7460" w:type="dxa"/>
            <w:vAlign w:val="bottom"/>
            <w:shd w:val="clear" w:color="auto" w:fill="CFF0FC"/>
          </w:tcPr>
          <w:p>
            <w:pPr>
              <w:ind w:left="140"/>
              <w:spacing w:after="0"/>
              <w:rPr>
                <w:sz w:val="20"/>
                <w:szCs w:val="20"/>
                <w:color w:val="auto"/>
              </w:rPr>
            </w:pPr>
            <w:r>
              <w:rPr>
                <w:rFonts w:ascii="Arial" w:cs="Arial" w:eastAsia="Arial" w:hAnsi="Arial"/>
                <w:sz w:val="12"/>
                <w:szCs w:val="12"/>
                <w:b w:val="1"/>
                <w:bCs w:val="1"/>
                <w:color w:val="auto"/>
              </w:rPr>
              <w:t>LIABILITIES</w:t>
            </w:r>
          </w:p>
        </w:tc>
        <w:tc>
          <w:tcPr>
            <w:tcW w:w="1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7460" w:type="dxa"/>
            <w:vAlign w:val="bottom"/>
          </w:tcPr>
          <w:p>
            <w:pPr>
              <w:ind w:left="380"/>
              <w:spacing w:after="0"/>
              <w:rPr>
                <w:sz w:val="20"/>
                <w:szCs w:val="20"/>
                <w:color w:val="auto"/>
              </w:rPr>
            </w:pPr>
            <w:r>
              <w:rPr>
                <w:rFonts w:ascii="Arial" w:cs="Arial" w:eastAsia="Arial" w:hAnsi="Arial"/>
                <w:sz w:val="12"/>
                <w:szCs w:val="12"/>
                <w:color w:val="auto"/>
              </w:rPr>
              <w:t>Current liabilities</w:t>
            </w: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7460" w:type="dxa"/>
            <w:vAlign w:val="bottom"/>
            <w:shd w:val="clear" w:color="auto" w:fill="CFF0FC"/>
          </w:tcPr>
          <w:p>
            <w:pPr>
              <w:ind w:left="380"/>
              <w:spacing w:after="0"/>
              <w:rPr>
                <w:sz w:val="20"/>
                <w:szCs w:val="20"/>
                <w:color w:val="auto"/>
              </w:rPr>
            </w:pPr>
            <w:r>
              <w:rPr>
                <w:rFonts w:ascii="Arial" w:cs="Arial" w:eastAsia="Arial" w:hAnsi="Arial"/>
                <w:sz w:val="12"/>
                <w:szCs w:val="12"/>
                <w:color w:val="auto"/>
              </w:rPr>
              <w:t>Accounts payable</w:t>
            </w: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42,961</w:t>
            </w:r>
          </w:p>
        </w:tc>
        <w:tc>
          <w:tcPr>
            <w:tcW w:w="8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37,536</w:t>
            </w: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5,814</w:t>
            </w:r>
          </w:p>
        </w:tc>
        <w:tc>
          <w:tcPr>
            <w:tcW w:w="100" w:type="dxa"/>
            <w:vAlign w:val="bottom"/>
            <w:shd w:val="clear" w:color="auto" w:fill="CFF0FC"/>
          </w:tcPr>
          <w:p>
            <w:pPr>
              <w:spacing w:after="0"/>
              <w:rPr>
                <w:sz w:val="12"/>
                <w:szCs w:val="12"/>
                <w:color w:val="auto"/>
              </w:rPr>
            </w:pPr>
          </w:p>
        </w:tc>
      </w:tr>
      <w:tr>
        <w:trPr>
          <w:trHeight w:val="148"/>
        </w:trPr>
        <w:tc>
          <w:tcPr>
            <w:tcW w:w="7460" w:type="dxa"/>
            <w:vAlign w:val="bottom"/>
          </w:tcPr>
          <w:p>
            <w:pPr>
              <w:ind w:left="380"/>
              <w:spacing w:after="0"/>
              <w:rPr>
                <w:sz w:val="20"/>
                <w:szCs w:val="20"/>
                <w:color w:val="auto"/>
              </w:rPr>
            </w:pPr>
            <w:r>
              <w:rPr>
                <w:rFonts w:ascii="Arial" w:cs="Arial" w:eastAsia="Arial" w:hAnsi="Arial"/>
                <w:sz w:val="12"/>
                <w:szCs w:val="12"/>
                <w:color w:val="auto"/>
              </w:rPr>
              <w:t>Amounts due to related parties</w:t>
            </w:r>
          </w:p>
        </w:tc>
        <w:tc>
          <w:tcPr>
            <w:tcW w:w="1260" w:type="dxa"/>
            <w:vAlign w:val="bottom"/>
          </w:tcPr>
          <w:p>
            <w:pPr>
              <w:jc w:val="right"/>
              <w:spacing w:after="0"/>
              <w:rPr>
                <w:sz w:val="20"/>
                <w:szCs w:val="20"/>
                <w:color w:val="auto"/>
              </w:rPr>
            </w:pPr>
            <w:r>
              <w:rPr>
                <w:rFonts w:ascii="Arial" w:cs="Arial" w:eastAsia="Arial" w:hAnsi="Arial"/>
                <w:sz w:val="12"/>
                <w:szCs w:val="12"/>
                <w:color w:val="auto"/>
              </w:rPr>
              <w:t>67,514</w:t>
            </w:r>
          </w:p>
        </w:tc>
        <w:tc>
          <w:tcPr>
            <w:tcW w:w="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55,785</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8,640</w:t>
            </w:r>
          </w:p>
        </w:tc>
        <w:tc>
          <w:tcPr>
            <w:tcW w:w="100" w:type="dxa"/>
            <w:vAlign w:val="bottom"/>
          </w:tcPr>
          <w:p>
            <w:pPr>
              <w:spacing w:after="0"/>
              <w:rPr>
                <w:sz w:val="12"/>
                <w:szCs w:val="12"/>
                <w:color w:val="auto"/>
              </w:rPr>
            </w:pPr>
          </w:p>
        </w:tc>
      </w:tr>
      <w:tr>
        <w:trPr>
          <w:trHeight w:val="149"/>
        </w:trPr>
        <w:tc>
          <w:tcPr>
            <w:tcW w:w="7460" w:type="dxa"/>
            <w:vAlign w:val="bottom"/>
            <w:shd w:val="clear" w:color="auto" w:fill="CFF0FC"/>
          </w:tcPr>
          <w:p>
            <w:pPr>
              <w:ind w:left="380"/>
              <w:spacing w:after="0" w:line="138" w:lineRule="exact"/>
              <w:rPr>
                <w:sz w:val="20"/>
                <w:szCs w:val="20"/>
                <w:color w:val="auto"/>
              </w:rPr>
            </w:pPr>
            <w:r>
              <w:rPr>
                <w:rFonts w:ascii="Arial" w:cs="Arial" w:eastAsia="Arial" w:hAnsi="Arial"/>
                <w:sz w:val="12"/>
                <w:szCs w:val="12"/>
                <w:color w:val="auto"/>
              </w:rPr>
              <w:t>Short</w:t>
            </w:r>
            <w:r>
              <w:rPr>
                <w:rFonts w:ascii="MS PGothic" w:cs="MS PGothic" w:eastAsia="MS PGothic" w:hAnsi="MS PGothic"/>
                <w:sz w:val="12"/>
                <w:szCs w:val="12"/>
                <w:color w:val="auto"/>
              </w:rPr>
              <w:t>‑</w:t>
            </w:r>
            <w:r>
              <w:rPr>
                <w:rFonts w:ascii="Arial" w:cs="Arial" w:eastAsia="Arial" w:hAnsi="Arial"/>
                <w:sz w:val="12"/>
                <w:szCs w:val="12"/>
                <w:color w:val="auto"/>
              </w:rPr>
              <w:t>term borrowings</w:t>
            </w: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1,827,063</w:t>
            </w:r>
          </w:p>
        </w:tc>
        <w:tc>
          <w:tcPr>
            <w:tcW w:w="8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1,884,459</w:t>
            </w: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291,866</w:t>
            </w:r>
          </w:p>
        </w:tc>
        <w:tc>
          <w:tcPr>
            <w:tcW w:w="100" w:type="dxa"/>
            <w:vAlign w:val="bottom"/>
            <w:shd w:val="clear" w:color="auto" w:fill="CFF0FC"/>
          </w:tcPr>
          <w:p>
            <w:pPr>
              <w:spacing w:after="0"/>
              <w:rPr>
                <w:sz w:val="12"/>
                <w:szCs w:val="12"/>
                <w:color w:val="auto"/>
              </w:rPr>
            </w:pPr>
          </w:p>
        </w:tc>
      </w:tr>
      <w:tr>
        <w:trPr>
          <w:trHeight w:val="148"/>
        </w:trPr>
        <w:tc>
          <w:tcPr>
            <w:tcW w:w="7460" w:type="dxa"/>
            <w:vAlign w:val="bottom"/>
          </w:tcPr>
          <w:p>
            <w:pPr>
              <w:ind w:left="380"/>
              <w:spacing w:after="0" w:line="138" w:lineRule="exact"/>
              <w:rPr>
                <w:sz w:val="20"/>
                <w:szCs w:val="20"/>
                <w:color w:val="auto"/>
              </w:rPr>
            </w:pPr>
            <w:r>
              <w:rPr>
                <w:rFonts w:ascii="Arial" w:cs="Arial" w:eastAsia="Arial" w:hAnsi="Arial"/>
                <w:sz w:val="12"/>
                <w:szCs w:val="12"/>
                <w:color w:val="auto"/>
              </w:rPr>
              <w:t>Short</w:t>
            </w:r>
            <w:r>
              <w:rPr>
                <w:rFonts w:ascii="MS PGothic" w:cs="MS PGothic" w:eastAsia="MS PGothic" w:hAnsi="MS PGothic"/>
                <w:sz w:val="12"/>
                <w:szCs w:val="12"/>
                <w:color w:val="auto"/>
              </w:rPr>
              <w:t>‑</w:t>
            </w:r>
            <w:r>
              <w:rPr>
                <w:rFonts w:ascii="Arial" w:cs="Arial" w:eastAsia="Arial" w:hAnsi="Arial"/>
                <w:sz w:val="12"/>
                <w:szCs w:val="12"/>
                <w:color w:val="auto"/>
              </w:rPr>
              <w:t>term funding debts</w:t>
            </w:r>
          </w:p>
        </w:tc>
        <w:tc>
          <w:tcPr>
            <w:tcW w:w="1260" w:type="dxa"/>
            <w:vAlign w:val="bottom"/>
          </w:tcPr>
          <w:p>
            <w:pPr>
              <w:jc w:val="right"/>
              <w:spacing w:after="0"/>
              <w:rPr>
                <w:sz w:val="20"/>
                <w:szCs w:val="20"/>
                <w:color w:val="auto"/>
              </w:rPr>
            </w:pPr>
            <w:r>
              <w:rPr>
                <w:rFonts w:ascii="Arial" w:cs="Arial" w:eastAsia="Arial" w:hAnsi="Arial"/>
                <w:sz w:val="12"/>
                <w:szCs w:val="12"/>
                <w:color w:val="auto"/>
              </w:rPr>
              <w:t>4,685,935</w:t>
            </w:r>
          </w:p>
        </w:tc>
        <w:tc>
          <w:tcPr>
            <w:tcW w:w="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3,432,747</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531,665</w:t>
            </w:r>
          </w:p>
        </w:tc>
        <w:tc>
          <w:tcPr>
            <w:tcW w:w="100" w:type="dxa"/>
            <w:vAlign w:val="bottom"/>
          </w:tcPr>
          <w:p>
            <w:pPr>
              <w:spacing w:after="0"/>
              <w:rPr>
                <w:sz w:val="12"/>
                <w:szCs w:val="12"/>
                <w:color w:val="auto"/>
              </w:rPr>
            </w:pPr>
          </w:p>
        </w:tc>
      </w:tr>
      <w:tr>
        <w:trPr>
          <w:trHeight w:val="149"/>
        </w:trPr>
        <w:tc>
          <w:tcPr>
            <w:tcW w:w="7460" w:type="dxa"/>
            <w:vAlign w:val="bottom"/>
            <w:shd w:val="clear" w:color="auto" w:fill="CFF0FC"/>
          </w:tcPr>
          <w:p>
            <w:pPr>
              <w:ind w:left="380"/>
              <w:spacing w:after="0"/>
              <w:rPr>
                <w:sz w:val="20"/>
                <w:szCs w:val="20"/>
                <w:color w:val="auto"/>
              </w:rPr>
            </w:pPr>
            <w:r>
              <w:rPr>
                <w:rFonts w:ascii="Arial" w:cs="Arial" w:eastAsia="Arial" w:hAnsi="Arial"/>
                <w:sz w:val="12"/>
                <w:szCs w:val="12"/>
                <w:color w:val="auto"/>
              </w:rPr>
              <w:t>Accrued interest payable</w:t>
            </w: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36,484</w:t>
            </w:r>
          </w:p>
        </w:tc>
        <w:tc>
          <w:tcPr>
            <w:tcW w:w="8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44,437</w:t>
            </w: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6,882</w:t>
            </w:r>
          </w:p>
        </w:tc>
        <w:tc>
          <w:tcPr>
            <w:tcW w:w="100" w:type="dxa"/>
            <w:vAlign w:val="bottom"/>
            <w:shd w:val="clear" w:color="auto" w:fill="CFF0FC"/>
          </w:tcPr>
          <w:p>
            <w:pPr>
              <w:spacing w:after="0"/>
              <w:rPr>
                <w:sz w:val="12"/>
                <w:szCs w:val="12"/>
                <w:color w:val="auto"/>
              </w:rPr>
            </w:pPr>
          </w:p>
        </w:tc>
      </w:tr>
      <w:tr>
        <w:trPr>
          <w:trHeight w:val="148"/>
        </w:trPr>
        <w:tc>
          <w:tcPr>
            <w:tcW w:w="7460" w:type="dxa"/>
            <w:vAlign w:val="bottom"/>
          </w:tcPr>
          <w:p>
            <w:pPr>
              <w:ind w:left="380"/>
              <w:spacing w:after="0"/>
              <w:rPr>
                <w:sz w:val="20"/>
                <w:szCs w:val="20"/>
                <w:color w:val="auto"/>
              </w:rPr>
            </w:pPr>
            <w:r>
              <w:rPr>
                <w:rFonts w:ascii="Arial" w:cs="Arial" w:eastAsia="Arial" w:hAnsi="Arial"/>
                <w:sz w:val="12"/>
                <w:szCs w:val="12"/>
                <w:color w:val="auto"/>
              </w:rPr>
              <w:t>Deferred guarantee income</w:t>
            </w:r>
          </w:p>
        </w:tc>
        <w:tc>
          <w:tcPr>
            <w:tcW w:w="1260" w:type="dxa"/>
            <w:vAlign w:val="bottom"/>
          </w:tcPr>
          <w:p>
            <w:pPr>
              <w:jc w:val="right"/>
              <w:spacing w:after="0"/>
              <w:rPr>
                <w:sz w:val="20"/>
                <w:szCs w:val="20"/>
                <w:color w:val="auto"/>
              </w:rPr>
            </w:pPr>
            <w:r>
              <w:rPr>
                <w:rFonts w:ascii="Arial" w:cs="Arial" w:eastAsia="Arial" w:hAnsi="Arial"/>
                <w:sz w:val="12"/>
                <w:szCs w:val="12"/>
                <w:color w:val="auto"/>
              </w:rPr>
              <w:t>694,582</w:t>
            </w:r>
          </w:p>
        </w:tc>
        <w:tc>
          <w:tcPr>
            <w:tcW w:w="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413,734</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64,079</w:t>
            </w:r>
          </w:p>
        </w:tc>
        <w:tc>
          <w:tcPr>
            <w:tcW w:w="100" w:type="dxa"/>
            <w:vAlign w:val="bottom"/>
          </w:tcPr>
          <w:p>
            <w:pPr>
              <w:spacing w:after="0"/>
              <w:rPr>
                <w:sz w:val="12"/>
                <w:szCs w:val="12"/>
                <w:color w:val="auto"/>
              </w:rPr>
            </w:pPr>
          </w:p>
        </w:tc>
      </w:tr>
      <w:tr>
        <w:trPr>
          <w:trHeight w:val="148"/>
        </w:trPr>
        <w:tc>
          <w:tcPr>
            <w:tcW w:w="7460" w:type="dxa"/>
            <w:vAlign w:val="bottom"/>
            <w:shd w:val="clear" w:color="auto" w:fill="CFF0FC"/>
          </w:tcPr>
          <w:p>
            <w:pPr>
              <w:ind w:left="380"/>
              <w:spacing w:after="0"/>
              <w:rPr>
                <w:sz w:val="20"/>
                <w:szCs w:val="20"/>
                <w:color w:val="auto"/>
              </w:rPr>
            </w:pPr>
            <w:r>
              <w:rPr>
                <w:rFonts w:ascii="Arial" w:cs="Arial" w:eastAsia="Arial" w:hAnsi="Arial"/>
                <w:sz w:val="12"/>
                <w:szCs w:val="12"/>
                <w:color w:val="auto"/>
              </w:rPr>
              <w:t>Contingent guarantee liabilities</w:t>
            </w: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1,738,787</w:t>
            </w:r>
          </w:p>
        </w:tc>
        <w:tc>
          <w:tcPr>
            <w:tcW w:w="8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1,416,870</w:t>
            </w: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219,445</w:t>
            </w:r>
          </w:p>
        </w:tc>
        <w:tc>
          <w:tcPr>
            <w:tcW w:w="100" w:type="dxa"/>
            <w:vAlign w:val="bottom"/>
            <w:shd w:val="clear" w:color="auto" w:fill="CFF0FC"/>
          </w:tcPr>
          <w:p>
            <w:pPr>
              <w:spacing w:after="0"/>
              <w:rPr>
                <w:sz w:val="12"/>
                <w:szCs w:val="12"/>
                <w:color w:val="auto"/>
              </w:rPr>
            </w:pPr>
          </w:p>
        </w:tc>
      </w:tr>
      <w:tr>
        <w:trPr>
          <w:trHeight w:val="149"/>
        </w:trPr>
        <w:tc>
          <w:tcPr>
            <w:tcW w:w="7460" w:type="dxa"/>
            <w:vAlign w:val="bottom"/>
            <w:tcBorders>
              <w:bottom w:val="single" w:sz="8" w:color="CFF0FC"/>
            </w:tcBorders>
          </w:tcPr>
          <w:p>
            <w:pPr>
              <w:ind w:left="380"/>
              <w:spacing w:after="0"/>
              <w:rPr>
                <w:sz w:val="20"/>
                <w:szCs w:val="20"/>
                <w:color w:val="auto"/>
              </w:rPr>
            </w:pPr>
            <w:r>
              <w:rPr>
                <w:rFonts w:ascii="Arial" w:cs="Arial" w:eastAsia="Arial" w:hAnsi="Arial"/>
                <w:sz w:val="12"/>
                <w:szCs w:val="12"/>
                <w:color w:val="auto"/>
              </w:rPr>
              <w:t>Accrued expenses and other current liabilities</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2,926,347</w:t>
            </w:r>
          </w:p>
        </w:tc>
        <w:tc>
          <w:tcPr>
            <w:tcW w:w="80" w:type="dxa"/>
            <w:vAlign w:val="bottom"/>
            <w:tcBorders>
              <w:bottom w:val="single" w:sz="8" w:color="CFF0FC"/>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3,128,980</w:t>
            </w:r>
          </w:p>
        </w:tc>
        <w:tc>
          <w:tcPr>
            <w:tcW w:w="100" w:type="dxa"/>
            <w:vAlign w:val="bottom"/>
            <w:tcBorders>
              <w:bottom w:val="single" w:sz="8" w:color="CFF0FC"/>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484,617</w:t>
            </w:r>
          </w:p>
        </w:tc>
        <w:tc>
          <w:tcPr>
            <w:tcW w:w="100" w:type="dxa"/>
            <w:vAlign w:val="bottom"/>
            <w:tcBorders>
              <w:bottom w:val="single" w:sz="8" w:color="CFF0FC"/>
            </w:tcBorders>
          </w:tcPr>
          <w:p>
            <w:pPr>
              <w:spacing w:after="0"/>
              <w:rPr>
                <w:sz w:val="12"/>
                <w:szCs w:val="12"/>
                <w:color w:val="auto"/>
              </w:rPr>
            </w:pPr>
          </w:p>
        </w:tc>
      </w:tr>
      <w:tr>
        <w:trPr>
          <w:trHeight w:val="142"/>
        </w:trPr>
        <w:tc>
          <w:tcPr>
            <w:tcW w:w="7460" w:type="dxa"/>
            <w:vAlign w:val="bottom"/>
            <w:shd w:val="clear" w:color="auto" w:fill="CFF0FC"/>
          </w:tcPr>
          <w:p>
            <w:pPr>
              <w:ind w:left="140"/>
              <w:spacing w:after="0"/>
              <w:rPr>
                <w:sz w:val="20"/>
                <w:szCs w:val="20"/>
                <w:color w:val="auto"/>
              </w:rPr>
            </w:pPr>
            <w:r>
              <w:rPr>
                <w:rFonts w:ascii="Arial" w:cs="Arial" w:eastAsia="Arial" w:hAnsi="Arial"/>
                <w:sz w:val="12"/>
                <w:szCs w:val="12"/>
                <w:b w:val="1"/>
                <w:bCs w:val="1"/>
                <w:color w:val="auto"/>
              </w:rPr>
              <w:t>Total current liabilities</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b w:val="1"/>
                <w:bCs w:val="1"/>
                <w:color w:val="auto"/>
              </w:rPr>
              <w:t>12,019,673</w:t>
            </w:r>
          </w:p>
        </w:tc>
        <w:tc>
          <w:tcPr>
            <w:tcW w:w="80" w:type="dxa"/>
            <w:vAlign w:val="bottom"/>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b w:val="1"/>
                <w:bCs w:val="1"/>
                <w:color w:val="auto"/>
              </w:rPr>
              <w:t>10,414,548</w:t>
            </w:r>
          </w:p>
        </w:tc>
        <w:tc>
          <w:tcPr>
            <w:tcW w:w="100" w:type="dxa"/>
            <w:vAlign w:val="bottom"/>
            <w:shd w:val="clear" w:color="auto" w:fill="CFF0FC"/>
          </w:tcPr>
          <w:p>
            <w:pPr>
              <w:spacing w:after="0"/>
              <w:rPr>
                <w:sz w:val="12"/>
                <w:szCs w:val="12"/>
                <w:color w:val="auto"/>
              </w:rPr>
            </w:pPr>
          </w:p>
        </w:tc>
        <w:tc>
          <w:tcPr>
            <w:tcW w:w="36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b w:val="1"/>
                <w:bCs w:val="1"/>
                <w:color w:val="auto"/>
              </w:rPr>
              <w:t>1,613,008</w:t>
            </w:r>
          </w:p>
        </w:tc>
        <w:tc>
          <w:tcPr>
            <w:tcW w:w="100" w:type="dxa"/>
            <w:vAlign w:val="bottom"/>
            <w:shd w:val="clear" w:color="auto" w:fill="CFF0FC"/>
          </w:tcPr>
          <w:p>
            <w:pPr>
              <w:spacing w:after="0"/>
              <w:rPr>
                <w:sz w:val="12"/>
                <w:szCs w:val="12"/>
                <w:color w:val="auto"/>
              </w:rPr>
            </w:pPr>
          </w:p>
        </w:tc>
      </w:tr>
      <w:tr>
        <w:trPr>
          <w:trHeight w:val="142"/>
        </w:trPr>
        <w:tc>
          <w:tcPr>
            <w:tcW w:w="7460" w:type="dxa"/>
            <w:vAlign w:val="bottom"/>
          </w:tcPr>
          <w:p>
            <w:pPr>
              <w:ind w:left="140"/>
              <w:spacing w:after="0" w:line="138" w:lineRule="exact"/>
              <w:rPr>
                <w:sz w:val="20"/>
                <w:szCs w:val="20"/>
                <w:color w:val="auto"/>
              </w:rPr>
            </w:pPr>
            <w:r>
              <w:rPr>
                <w:rFonts w:ascii="Arial" w:cs="Arial" w:eastAsia="Arial" w:hAnsi="Arial"/>
                <w:sz w:val="12"/>
                <w:szCs w:val="12"/>
                <w:b w:val="1"/>
                <w:bCs w:val="1"/>
                <w:color w:val="auto"/>
              </w:rPr>
              <w:t>Non</w:t>
            </w:r>
            <w:r>
              <w:rPr>
                <w:rFonts w:ascii="MS PGothic" w:cs="MS PGothic" w:eastAsia="MS PGothic" w:hAnsi="MS PGothic"/>
                <w:sz w:val="12"/>
                <w:szCs w:val="12"/>
                <w:b w:val="1"/>
                <w:bCs w:val="1"/>
                <w:color w:val="auto"/>
              </w:rPr>
              <w:t>‑</w:t>
            </w:r>
            <w:r>
              <w:rPr>
                <w:rFonts w:ascii="Arial" w:cs="Arial" w:eastAsia="Arial" w:hAnsi="Arial"/>
                <w:sz w:val="12"/>
                <w:szCs w:val="12"/>
                <w:b w:val="1"/>
                <w:bCs w:val="1"/>
                <w:color w:val="auto"/>
              </w:rPr>
              <w:t>current liabilities</w:t>
            </w: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7460" w:type="dxa"/>
            <w:vAlign w:val="bottom"/>
            <w:shd w:val="clear" w:color="auto" w:fill="CFF0FC"/>
          </w:tcPr>
          <w:p>
            <w:pPr>
              <w:ind w:left="380"/>
              <w:spacing w:after="0" w:line="138" w:lineRule="exact"/>
              <w:rPr>
                <w:sz w:val="20"/>
                <w:szCs w:val="20"/>
                <w:color w:val="auto"/>
              </w:rPr>
            </w:pPr>
            <w:r>
              <w:rPr>
                <w:rFonts w:ascii="Arial" w:cs="Arial" w:eastAsia="Arial" w:hAnsi="Arial"/>
                <w:sz w:val="12"/>
                <w:szCs w:val="12"/>
                <w:color w:val="auto"/>
              </w:rPr>
              <w:t>Long</w:t>
            </w:r>
            <w:r>
              <w:rPr>
                <w:rFonts w:ascii="MS PGothic" w:cs="MS PGothic" w:eastAsia="MS PGothic" w:hAnsi="MS PGothic"/>
                <w:sz w:val="12"/>
                <w:szCs w:val="12"/>
                <w:color w:val="auto"/>
              </w:rPr>
              <w:t>‑</w:t>
            </w:r>
            <w:r>
              <w:rPr>
                <w:rFonts w:ascii="Arial" w:cs="Arial" w:eastAsia="Arial" w:hAnsi="Arial"/>
                <w:sz w:val="12"/>
                <w:szCs w:val="12"/>
                <w:color w:val="auto"/>
              </w:rPr>
              <w:t>term funding debts</w:t>
            </w: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825,814</w:t>
            </w:r>
          </w:p>
        </w:tc>
        <w:tc>
          <w:tcPr>
            <w:tcW w:w="8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617,913</w:t>
            </w: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95,703</w:t>
            </w:r>
          </w:p>
        </w:tc>
        <w:tc>
          <w:tcPr>
            <w:tcW w:w="100" w:type="dxa"/>
            <w:vAlign w:val="bottom"/>
            <w:shd w:val="clear" w:color="auto" w:fill="CFF0FC"/>
          </w:tcPr>
          <w:p>
            <w:pPr>
              <w:spacing w:after="0"/>
              <w:rPr>
                <w:sz w:val="12"/>
                <w:szCs w:val="12"/>
                <w:color w:val="auto"/>
              </w:rPr>
            </w:pPr>
          </w:p>
        </w:tc>
      </w:tr>
      <w:tr>
        <w:trPr>
          <w:trHeight w:val="148"/>
        </w:trPr>
        <w:tc>
          <w:tcPr>
            <w:tcW w:w="7460" w:type="dxa"/>
            <w:vAlign w:val="bottom"/>
          </w:tcPr>
          <w:p>
            <w:pPr>
              <w:ind w:left="380"/>
              <w:spacing w:after="0"/>
              <w:rPr>
                <w:sz w:val="20"/>
                <w:szCs w:val="20"/>
                <w:color w:val="auto"/>
              </w:rPr>
            </w:pPr>
            <w:r>
              <w:rPr>
                <w:rFonts w:ascii="Arial" w:cs="Arial" w:eastAsia="Arial" w:hAnsi="Arial"/>
                <w:sz w:val="12"/>
                <w:szCs w:val="12"/>
                <w:color w:val="auto"/>
              </w:rPr>
              <w:t>Deferred tax liabilities</w:t>
            </w:r>
          </w:p>
        </w:tc>
        <w:tc>
          <w:tcPr>
            <w:tcW w:w="1260" w:type="dxa"/>
            <w:vAlign w:val="bottom"/>
          </w:tcPr>
          <w:p>
            <w:pPr>
              <w:jc w:val="right"/>
              <w:spacing w:after="0"/>
              <w:rPr>
                <w:sz w:val="20"/>
                <w:szCs w:val="20"/>
                <w:color w:val="auto"/>
              </w:rPr>
            </w:pPr>
            <w:r>
              <w:rPr>
                <w:rFonts w:ascii="Arial" w:cs="Arial" w:eastAsia="Arial" w:hAnsi="Arial"/>
                <w:sz w:val="12"/>
                <w:szCs w:val="12"/>
                <w:color w:val="auto"/>
              </w:rPr>
              <w:t>21,046</w:t>
            </w:r>
          </w:p>
        </w:tc>
        <w:tc>
          <w:tcPr>
            <w:tcW w:w="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36,518</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5,656</w:t>
            </w:r>
          </w:p>
        </w:tc>
        <w:tc>
          <w:tcPr>
            <w:tcW w:w="100" w:type="dxa"/>
            <w:vAlign w:val="bottom"/>
          </w:tcPr>
          <w:p>
            <w:pPr>
              <w:spacing w:after="0"/>
              <w:rPr>
                <w:sz w:val="12"/>
                <w:szCs w:val="12"/>
                <w:color w:val="auto"/>
              </w:rPr>
            </w:pPr>
          </w:p>
        </w:tc>
      </w:tr>
      <w:tr>
        <w:trPr>
          <w:trHeight w:val="148"/>
        </w:trPr>
        <w:tc>
          <w:tcPr>
            <w:tcW w:w="7460" w:type="dxa"/>
            <w:vAlign w:val="bottom"/>
            <w:shd w:val="clear" w:color="auto" w:fill="CFF0FC"/>
          </w:tcPr>
          <w:p>
            <w:pPr>
              <w:ind w:left="380"/>
              <w:spacing w:after="0"/>
              <w:rPr>
                <w:sz w:val="20"/>
                <w:szCs w:val="20"/>
                <w:color w:val="auto"/>
              </w:rPr>
            </w:pPr>
            <w:r>
              <w:rPr>
                <w:rFonts w:ascii="Arial" w:cs="Arial" w:eastAsia="Arial" w:hAnsi="Arial"/>
                <w:sz w:val="12"/>
                <w:szCs w:val="12"/>
                <w:color w:val="auto"/>
              </w:rPr>
              <w:t>Convertible notes</w:t>
            </w: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1,920,227</w:t>
            </w:r>
          </w:p>
        </w:tc>
        <w:tc>
          <w:tcPr>
            <w:tcW w:w="8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1,904,358</w:t>
            </w: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294,947</w:t>
            </w:r>
          </w:p>
        </w:tc>
        <w:tc>
          <w:tcPr>
            <w:tcW w:w="100" w:type="dxa"/>
            <w:vAlign w:val="bottom"/>
            <w:shd w:val="clear" w:color="auto" w:fill="CFF0FC"/>
          </w:tcPr>
          <w:p>
            <w:pPr>
              <w:spacing w:after="0"/>
              <w:rPr>
                <w:sz w:val="12"/>
                <w:szCs w:val="12"/>
                <w:color w:val="auto"/>
              </w:rPr>
            </w:pPr>
          </w:p>
        </w:tc>
      </w:tr>
      <w:tr>
        <w:trPr>
          <w:trHeight w:val="149"/>
        </w:trPr>
        <w:tc>
          <w:tcPr>
            <w:tcW w:w="7460" w:type="dxa"/>
            <w:vAlign w:val="bottom"/>
            <w:tcBorders>
              <w:bottom w:val="single" w:sz="8" w:color="CFF0FC"/>
            </w:tcBorders>
          </w:tcPr>
          <w:p>
            <w:pPr>
              <w:ind w:left="380"/>
              <w:spacing w:after="0"/>
              <w:rPr>
                <w:sz w:val="20"/>
                <w:szCs w:val="20"/>
                <w:color w:val="auto"/>
              </w:rPr>
            </w:pPr>
            <w:r>
              <w:rPr>
                <w:rFonts w:ascii="Arial" w:cs="Arial" w:eastAsia="Arial" w:hAnsi="Arial"/>
                <w:sz w:val="12"/>
                <w:szCs w:val="12"/>
                <w:color w:val="auto"/>
              </w:rPr>
              <w:t>Other long-term liabilities</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27,667</w:t>
            </w:r>
          </w:p>
        </w:tc>
        <w:tc>
          <w:tcPr>
            <w:tcW w:w="80" w:type="dxa"/>
            <w:vAlign w:val="bottom"/>
            <w:tcBorders>
              <w:bottom w:val="single" w:sz="8" w:color="CFF0FC"/>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21,016</w:t>
            </w:r>
          </w:p>
        </w:tc>
        <w:tc>
          <w:tcPr>
            <w:tcW w:w="100" w:type="dxa"/>
            <w:vAlign w:val="bottom"/>
            <w:tcBorders>
              <w:bottom w:val="single" w:sz="8" w:color="CFF0FC"/>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3,255</w:t>
            </w:r>
          </w:p>
        </w:tc>
        <w:tc>
          <w:tcPr>
            <w:tcW w:w="100" w:type="dxa"/>
            <w:vAlign w:val="bottom"/>
            <w:tcBorders>
              <w:bottom w:val="single" w:sz="8" w:color="CFF0FC"/>
            </w:tcBorders>
          </w:tcPr>
          <w:p>
            <w:pPr>
              <w:spacing w:after="0"/>
              <w:rPr>
                <w:sz w:val="12"/>
                <w:szCs w:val="12"/>
                <w:color w:val="auto"/>
              </w:rPr>
            </w:pPr>
          </w:p>
        </w:tc>
      </w:tr>
      <w:tr>
        <w:trPr>
          <w:trHeight w:val="142"/>
        </w:trPr>
        <w:tc>
          <w:tcPr>
            <w:tcW w:w="7460" w:type="dxa"/>
            <w:vAlign w:val="bottom"/>
            <w:shd w:val="clear" w:color="auto" w:fill="CFF0FC"/>
          </w:tcPr>
          <w:p>
            <w:pPr>
              <w:ind w:left="140"/>
              <w:spacing w:after="0" w:line="138" w:lineRule="exact"/>
              <w:rPr>
                <w:sz w:val="20"/>
                <w:szCs w:val="20"/>
                <w:color w:val="auto"/>
              </w:rPr>
            </w:pPr>
            <w:r>
              <w:rPr>
                <w:rFonts w:ascii="Arial" w:cs="Arial" w:eastAsia="Arial" w:hAnsi="Arial"/>
                <w:sz w:val="12"/>
                <w:szCs w:val="12"/>
                <w:b w:val="1"/>
                <w:bCs w:val="1"/>
                <w:color w:val="auto"/>
              </w:rPr>
              <w:t>Total non</w:t>
            </w:r>
            <w:r>
              <w:rPr>
                <w:rFonts w:ascii="MS PGothic" w:cs="MS PGothic" w:eastAsia="MS PGothic" w:hAnsi="MS PGothic"/>
                <w:sz w:val="12"/>
                <w:szCs w:val="12"/>
                <w:b w:val="1"/>
                <w:bCs w:val="1"/>
                <w:color w:val="auto"/>
              </w:rPr>
              <w:t>‑</w:t>
            </w:r>
            <w:r>
              <w:rPr>
                <w:rFonts w:ascii="Arial" w:cs="Arial" w:eastAsia="Arial" w:hAnsi="Arial"/>
                <w:sz w:val="12"/>
                <w:szCs w:val="12"/>
                <w:b w:val="1"/>
                <w:bCs w:val="1"/>
                <w:color w:val="auto"/>
              </w:rPr>
              <w:t>current liabilities</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b w:val="1"/>
                <w:bCs w:val="1"/>
                <w:color w:val="auto"/>
              </w:rPr>
              <w:t>2,794,754</w:t>
            </w:r>
          </w:p>
        </w:tc>
        <w:tc>
          <w:tcPr>
            <w:tcW w:w="80" w:type="dxa"/>
            <w:vAlign w:val="bottom"/>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b w:val="1"/>
                <w:bCs w:val="1"/>
                <w:color w:val="auto"/>
              </w:rPr>
              <w:t>2,579,805</w:t>
            </w:r>
          </w:p>
        </w:tc>
        <w:tc>
          <w:tcPr>
            <w:tcW w:w="100" w:type="dxa"/>
            <w:vAlign w:val="bottom"/>
            <w:shd w:val="clear" w:color="auto" w:fill="CFF0FC"/>
          </w:tcPr>
          <w:p>
            <w:pPr>
              <w:spacing w:after="0"/>
              <w:rPr>
                <w:sz w:val="12"/>
                <w:szCs w:val="12"/>
                <w:color w:val="auto"/>
              </w:rPr>
            </w:pPr>
          </w:p>
        </w:tc>
        <w:tc>
          <w:tcPr>
            <w:tcW w:w="36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b w:val="1"/>
                <w:bCs w:val="1"/>
                <w:color w:val="auto"/>
              </w:rPr>
              <w:t>399,561</w:t>
            </w:r>
          </w:p>
        </w:tc>
        <w:tc>
          <w:tcPr>
            <w:tcW w:w="100" w:type="dxa"/>
            <w:vAlign w:val="bottom"/>
            <w:shd w:val="clear" w:color="auto" w:fill="CFF0FC"/>
          </w:tcPr>
          <w:p>
            <w:pPr>
              <w:spacing w:after="0"/>
              <w:rPr>
                <w:sz w:val="12"/>
                <w:szCs w:val="12"/>
                <w:color w:val="auto"/>
              </w:rPr>
            </w:pPr>
          </w:p>
        </w:tc>
      </w:tr>
      <w:tr>
        <w:trPr>
          <w:trHeight w:val="182"/>
        </w:trPr>
        <w:tc>
          <w:tcPr>
            <w:tcW w:w="7460" w:type="dxa"/>
            <w:vAlign w:val="bottom"/>
            <w:tcBorders>
              <w:bottom w:val="single" w:sz="8" w:color="CFF0FC"/>
            </w:tcBorders>
          </w:tcPr>
          <w:p>
            <w:pPr>
              <w:ind w:left="140"/>
              <w:spacing w:after="0"/>
              <w:rPr>
                <w:sz w:val="20"/>
                <w:szCs w:val="20"/>
                <w:color w:val="auto"/>
              </w:rPr>
            </w:pPr>
            <w:r>
              <w:rPr>
                <w:rFonts w:ascii="Arial" w:cs="Arial" w:eastAsia="Arial" w:hAnsi="Arial"/>
                <w:sz w:val="12"/>
                <w:szCs w:val="12"/>
                <w:b w:val="1"/>
                <w:bCs w:val="1"/>
                <w:color w:val="auto"/>
              </w:rPr>
              <w:t>TOTAL LIABILITIES</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14,814,427</w:t>
            </w:r>
          </w:p>
        </w:tc>
        <w:tc>
          <w:tcPr>
            <w:tcW w:w="80" w:type="dxa"/>
            <w:vAlign w:val="bottom"/>
            <w:tcBorders>
              <w:bottom w:val="single" w:sz="8" w:color="CFF0FC"/>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12,994,353</w:t>
            </w:r>
          </w:p>
        </w:tc>
        <w:tc>
          <w:tcPr>
            <w:tcW w:w="10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2,012,569</w:t>
            </w:r>
          </w:p>
        </w:tc>
        <w:tc>
          <w:tcPr>
            <w:tcW w:w="100" w:type="dxa"/>
            <w:vAlign w:val="bottom"/>
            <w:tcBorders>
              <w:bottom w:val="single" w:sz="8" w:color="CFF0FC"/>
            </w:tcBorders>
          </w:tcPr>
          <w:p>
            <w:pPr>
              <w:spacing w:after="0"/>
              <w:rPr>
                <w:sz w:val="15"/>
                <w:szCs w:val="15"/>
                <w:color w:val="auto"/>
              </w:rPr>
            </w:pPr>
          </w:p>
        </w:tc>
      </w:tr>
      <w:tr>
        <w:trPr>
          <w:trHeight w:val="129"/>
        </w:trPr>
        <w:tc>
          <w:tcPr>
            <w:tcW w:w="7460" w:type="dxa"/>
            <w:vAlign w:val="bottom"/>
            <w:shd w:val="clear" w:color="auto" w:fill="CFF0FC"/>
          </w:tcPr>
          <w:p>
            <w:pPr>
              <w:ind w:left="140"/>
              <w:spacing w:after="0" w:line="129" w:lineRule="exact"/>
              <w:rPr>
                <w:sz w:val="20"/>
                <w:szCs w:val="20"/>
                <w:color w:val="auto"/>
              </w:rPr>
            </w:pPr>
            <w:r>
              <w:rPr>
                <w:rFonts w:ascii="Arial" w:cs="Arial" w:eastAsia="Arial" w:hAnsi="Arial"/>
                <w:sz w:val="12"/>
                <w:szCs w:val="12"/>
                <w:b w:val="1"/>
                <w:bCs w:val="1"/>
                <w:color w:val="auto"/>
              </w:rPr>
              <w:t>SHAREHOLDERS’ EQUITY:</w:t>
            </w:r>
          </w:p>
        </w:tc>
        <w:tc>
          <w:tcPr>
            <w:tcW w:w="1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8"/>
        </w:trPr>
        <w:tc>
          <w:tcPr>
            <w:tcW w:w="7460" w:type="dxa"/>
            <w:vAlign w:val="bottom"/>
          </w:tcPr>
          <w:p>
            <w:pPr>
              <w:ind w:left="380"/>
              <w:spacing w:after="0"/>
              <w:rPr>
                <w:sz w:val="20"/>
                <w:szCs w:val="20"/>
                <w:color w:val="auto"/>
              </w:rPr>
            </w:pPr>
            <w:r>
              <w:rPr>
                <w:rFonts w:ascii="Arial" w:cs="Arial" w:eastAsia="Arial" w:hAnsi="Arial"/>
                <w:sz w:val="12"/>
                <w:szCs w:val="12"/>
                <w:color w:val="auto"/>
              </w:rPr>
              <w:t>Class A Ordinary Shares</w:t>
            </w:r>
          </w:p>
        </w:tc>
        <w:tc>
          <w:tcPr>
            <w:tcW w:w="1260" w:type="dxa"/>
            <w:vAlign w:val="bottom"/>
          </w:tcPr>
          <w:p>
            <w:pPr>
              <w:jc w:val="right"/>
              <w:spacing w:after="0"/>
              <w:rPr>
                <w:sz w:val="20"/>
                <w:szCs w:val="20"/>
                <w:color w:val="auto"/>
              </w:rPr>
            </w:pPr>
            <w:r>
              <w:rPr>
                <w:rFonts w:ascii="Arial" w:cs="Arial" w:eastAsia="Arial" w:hAnsi="Arial"/>
                <w:sz w:val="12"/>
                <w:szCs w:val="12"/>
                <w:color w:val="auto"/>
              </w:rPr>
              <w:t>176</w:t>
            </w:r>
          </w:p>
        </w:tc>
        <w:tc>
          <w:tcPr>
            <w:tcW w:w="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179</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28</w:t>
            </w:r>
          </w:p>
        </w:tc>
        <w:tc>
          <w:tcPr>
            <w:tcW w:w="100" w:type="dxa"/>
            <w:vAlign w:val="bottom"/>
          </w:tcPr>
          <w:p>
            <w:pPr>
              <w:spacing w:after="0"/>
              <w:rPr>
                <w:sz w:val="12"/>
                <w:szCs w:val="12"/>
                <w:color w:val="auto"/>
              </w:rPr>
            </w:pPr>
          </w:p>
        </w:tc>
      </w:tr>
      <w:tr>
        <w:trPr>
          <w:trHeight w:val="149"/>
        </w:trPr>
        <w:tc>
          <w:tcPr>
            <w:tcW w:w="7460" w:type="dxa"/>
            <w:vAlign w:val="bottom"/>
            <w:shd w:val="clear" w:color="auto" w:fill="CFF0FC"/>
          </w:tcPr>
          <w:p>
            <w:pPr>
              <w:ind w:left="380"/>
              <w:spacing w:after="0"/>
              <w:rPr>
                <w:sz w:val="20"/>
                <w:szCs w:val="20"/>
                <w:color w:val="auto"/>
              </w:rPr>
            </w:pPr>
            <w:r>
              <w:rPr>
                <w:rFonts w:ascii="Arial" w:cs="Arial" w:eastAsia="Arial" w:hAnsi="Arial"/>
                <w:sz w:val="12"/>
                <w:szCs w:val="12"/>
                <w:color w:val="auto"/>
              </w:rPr>
              <w:t>Class B Ordinary Shares</w:t>
            </w: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58</w:t>
            </w:r>
          </w:p>
        </w:tc>
        <w:tc>
          <w:tcPr>
            <w:tcW w:w="8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57</w:t>
            </w: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w:t>
            </w:r>
          </w:p>
        </w:tc>
        <w:tc>
          <w:tcPr>
            <w:tcW w:w="100" w:type="dxa"/>
            <w:vAlign w:val="bottom"/>
            <w:shd w:val="clear" w:color="auto" w:fill="CFF0FC"/>
          </w:tcPr>
          <w:p>
            <w:pPr>
              <w:spacing w:after="0"/>
              <w:rPr>
                <w:sz w:val="12"/>
                <w:szCs w:val="12"/>
                <w:color w:val="auto"/>
              </w:rPr>
            </w:pPr>
          </w:p>
        </w:tc>
      </w:tr>
      <w:tr>
        <w:trPr>
          <w:trHeight w:val="148"/>
        </w:trPr>
        <w:tc>
          <w:tcPr>
            <w:tcW w:w="7460" w:type="dxa"/>
            <w:vAlign w:val="bottom"/>
          </w:tcPr>
          <w:p>
            <w:pPr>
              <w:ind w:left="380"/>
              <w:spacing w:after="0" w:line="138" w:lineRule="exact"/>
              <w:rPr>
                <w:sz w:val="20"/>
                <w:szCs w:val="20"/>
                <w:color w:val="auto"/>
              </w:rPr>
            </w:pPr>
            <w:r>
              <w:rPr>
                <w:rFonts w:ascii="Arial" w:cs="Arial" w:eastAsia="Arial" w:hAnsi="Arial"/>
                <w:sz w:val="12"/>
                <w:szCs w:val="12"/>
                <w:color w:val="auto"/>
              </w:rPr>
              <w:t>Additional paid</w:t>
            </w:r>
            <w:r>
              <w:rPr>
                <w:rFonts w:ascii="MS PGothic" w:cs="MS PGothic" w:eastAsia="MS PGothic" w:hAnsi="MS PGothic"/>
                <w:sz w:val="12"/>
                <w:szCs w:val="12"/>
                <w:color w:val="auto"/>
              </w:rPr>
              <w:t>‑</w:t>
            </w:r>
            <w:r>
              <w:rPr>
                <w:rFonts w:ascii="Arial" w:cs="Arial" w:eastAsia="Arial" w:hAnsi="Arial"/>
                <w:sz w:val="12"/>
                <w:szCs w:val="12"/>
                <w:color w:val="auto"/>
              </w:rPr>
              <w:t>in capital</w:t>
            </w:r>
          </w:p>
        </w:tc>
        <w:tc>
          <w:tcPr>
            <w:tcW w:w="1260" w:type="dxa"/>
            <w:vAlign w:val="bottom"/>
          </w:tcPr>
          <w:p>
            <w:pPr>
              <w:jc w:val="right"/>
              <w:spacing w:after="0"/>
              <w:rPr>
                <w:sz w:val="20"/>
                <w:szCs w:val="20"/>
                <w:color w:val="auto"/>
              </w:rPr>
            </w:pPr>
            <w:r>
              <w:rPr>
                <w:rFonts w:ascii="Arial" w:cs="Arial" w:eastAsia="Arial" w:hAnsi="Arial"/>
                <w:sz w:val="12"/>
                <w:szCs w:val="12"/>
                <w:color w:val="auto"/>
              </w:rPr>
              <w:t>2,724,006</w:t>
            </w:r>
          </w:p>
        </w:tc>
        <w:tc>
          <w:tcPr>
            <w:tcW w:w="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2,822,834</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437,201</w:t>
            </w:r>
          </w:p>
        </w:tc>
        <w:tc>
          <w:tcPr>
            <w:tcW w:w="100" w:type="dxa"/>
            <w:vAlign w:val="bottom"/>
          </w:tcPr>
          <w:p>
            <w:pPr>
              <w:spacing w:after="0"/>
              <w:rPr>
                <w:sz w:val="12"/>
                <w:szCs w:val="12"/>
                <w:color w:val="auto"/>
              </w:rPr>
            </w:pPr>
          </w:p>
        </w:tc>
      </w:tr>
      <w:tr>
        <w:trPr>
          <w:trHeight w:val="148"/>
        </w:trPr>
        <w:tc>
          <w:tcPr>
            <w:tcW w:w="7460" w:type="dxa"/>
            <w:vAlign w:val="bottom"/>
            <w:shd w:val="clear" w:color="auto" w:fill="CFF0FC"/>
          </w:tcPr>
          <w:p>
            <w:pPr>
              <w:ind w:left="380"/>
              <w:spacing w:after="0"/>
              <w:rPr>
                <w:sz w:val="20"/>
                <w:szCs w:val="20"/>
                <w:color w:val="auto"/>
              </w:rPr>
            </w:pPr>
            <w:r>
              <w:rPr>
                <w:rFonts w:ascii="Arial" w:cs="Arial" w:eastAsia="Arial" w:hAnsi="Arial"/>
                <w:sz w:val="12"/>
                <w:szCs w:val="12"/>
                <w:color w:val="auto"/>
              </w:rPr>
              <w:t>Statutory reserves</w:t>
            </w: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649,234</w:t>
            </w:r>
          </w:p>
        </w:tc>
        <w:tc>
          <w:tcPr>
            <w:tcW w:w="8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649,234</w:t>
            </w: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100,554</w:t>
            </w:r>
          </w:p>
        </w:tc>
        <w:tc>
          <w:tcPr>
            <w:tcW w:w="100" w:type="dxa"/>
            <w:vAlign w:val="bottom"/>
            <w:shd w:val="clear" w:color="auto" w:fill="CFF0FC"/>
          </w:tcPr>
          <w:p>
            <w:pPr>
              <w:spacing w:after="0"/>
              <w:rPr>
                <w:sz w:val="12"/>
                <w:szCs w:val="12"/>
                <w:color w:val="auto"/>
              </w:rPr>
            </w:pPr>
          </w:p>
        </w:tc>
      </w:tr>
      <w:tr>
        <w:trPr>
          <w:trHeight w:val="149"/>
        </w:trPr>
        <w:tc>
          <w:tcPr>
            <w:tcW w:w="7460" w:type="dxa"/>
            <w:vAlign w:val="bottom"/>
          </w:tcPr>
          <w:p>
            <w:pPr>
              <w:ind w:left="380"/>
              <w:spacing w:after="0"/>
              <w:rPr>
                <w:sz w:val="20"/>
                <w:szCs w:val="20"/>
                <w:color w:val="auto"/>
              </w:rPr>
            </w:pPr>
            <w:r>
              <w:rPr>
                <w:rFonts w:ascii="Arial" w:cs="Arial" w:eastAsia="Arial" w:hAnsi="Arial"/>
                <w:sz w:val="12"/>
                <w:szCs w:val="12"/>
                <w:color w:val="auto"/>
              </w:rPr>
              <w:t>Accumulated other comprehensive income</w:t>
            </w:r>
          </w:p>
        </w:tc>
        <w:tc>
          <w:tcPr>
            <w:tcW w:w="1260" w:type="dxa"/>
            <w:vAlign w:val="bottom"/>
          </w:tcPr>
          <w:p>
            <w:pPr>
              <w:jc w:val="right"/>
              <w:spacing w:after="0"/>
              <w:rPr>
                <w:sz w:val="20"/>
                <w:szCs w:val="20"/>
                <w:color w:val="auto"/>
              </w:rPr>
            </w:pPr>
            <w:r>
              <w:rPr>
                <w:rFonts w:ascii="Arial" w:cs="Arial" w:eastAsia="Arial" w:hAnsi="Arial"/>
                <w:sz w:val="12"/>
                <w:szCs w:val="12"/>
                <w:color w:val="auto"/>
              </w:rPr>
              <w:t>3,308</w:t>
            </w:r>
          </w:p>
        </w:tc>
        <w:tc>
          <w:tcPr>
            <w:tcW w:w="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6,541</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1,013</w:t>
            </w:r>
          </w:p>
        </w:tc>
        <w:tc>
          <w:tcPr>
            <w:tcW w:w="100" w:type="dxa"/>
            <w:vAlign w:val="bottom"/>
          </w:tcPr>
          <w:p>
            <w:pPr>
              <w:spacing w:after="0"/>
              <w:rPr>
                <w:sz w:val="12"/>
                <w:szCs w:val="12"/>
                <w:color w:val="auto"/>
              </w:rPr>
            </w:pPr>
          </w:p>
        </w:tc>
      </w:tr>
      <w:tr>
        <w:trPr>
          <w:trHeight w:val="148"/>
        </w:trPr>
        <w:tc>
          <w:tcPr>
            <w:tcW w:w="7460" w:type="dxa"/>
            <w:vAlign w:val="bottom"/>
            <w:shd w:val="clear" w:color="auto" w:fill="CFF0FC"/>
          </w:tcPr>
          <w:p>
            <w:pPr>
              <w:ind w:left="380"/>
              <w:spacing w:after="0"/>
              <w:rPr>
                <w:sz w:val="20"/>
                <w:szCs w:val="20"/>
                <w:color w:val="auto"/>
              </w:rPr>
            </w:pPr>
            <w:r>
              <w:rPr>
                <w:rFonts w:ascii="Arial" w:cs="Arial" w:eastAsia="Arial" w:hAnsi="Arial"/>
                <w:sz w:val="12"/>
                <w:szCs w:val="12"/>
                <w:color w:val="auto"/>
              </w:rPr>
              <w:t>Retained earnings</w:t>
            </w: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2,113,956</w:t>
            </w:r>
          </w:p>
        </w:tc>
        <w:tc>
          <w:tcPr>
            <w:tcW w:w="8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3,611,194</w:t>
            </w: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559,303</w:t>
            </w:r>
          </w:p>
        </w:tc>
        <w:tc>
          <w:tcPr>
            <w:tcW w:w="100" w:type="dxa"/>
            <w:vAlign w:val="bottom"/>
            <w:shd w:val="clear" w:color="auto" w:fill="CFF0FC"/>
          </w:tcPr>
          <w:p>
            <w:pPr>
              <w:spacing w:after="0"/>
              <w:rPr>
                <w:sz w:val="12"/>
                <w:szCs w:val="12"/>
                <w:color w:val="auto"/>
              </w:rPr>
            </w:pPr>
          </w:p>
        </w:tc>
      </w:tr>
      <w:tr>
        <w:trPr>
          <w:trHeight w:val="148"/>
        </w:trPr>
        <w:tc>
          <w:tcPr>
            <w:tcW w:w="7460" w:type="dxa"/>
            <w:vAlign w:val="bottom"/>
            <w:tcBorders>
              <w:bottom w:val="single" w:sz="8" w:color="CFF0FC"/>
            </w:tcBorders>
          </w:tcPr>
          <w:p>
            <w:pPr>
              <w:ind w:left="380"/>
              <w:spacing w:after="0"/>
              <w:rPr>
                <w:sz w:val="20"/>
                <w:szCs w:val="20"/>
                <w:color w:val="auto"/>
              </w:rPr>
            </w:pPr>
            <w:r>
              <w:rPr>
                <w:rFonts w:ascii="Arial" w:cs="Arial" w:eastAsia="Arial" w:hAnsi="Arial"/>
                <w:sz w:val="12"/>
                <w:szCs w:val="12"/>
                <w:color w:val="auto"/>
              </w:rPr>
              <w:t>Non-controlling interests</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40,000</w:t>
            </w:r>
          </w:p>
        </w:tc>
        <w:tc>
          <w:tcPr>
            <w:tcW w:w="80" w:type="dxa"/>
            <w:vAlign w:val="bottom"/>
            <w:tcBorders>
              <w:bottom w:val="single" w:sz="8" w:color="CFF0FC"/>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40,505</w:t>
            </w:r>
          </w:p>
        </w:tc>
        <w:tc>
          <w:tcPr>
            <w:tcW w:w="100" w:type="dxa"/>
            <w:vAlign w:val="bottom"/>
            <w:tcBorders>
              <w:bottom w:val="single" w:sz="8" w:color="CFF0FC"/>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6,274</w:t>
            </w:r>
          </w:p>
        </w:tc>
        <w:tc>
          <w:tcPr>
            <w:tcW w:w="100" w:type="dxa"/>
            <w:vAlign w:val="bottom"/>
            <w:tcBorders>
              <w:bottom w:val="single" w:sz="8" w:color="CFF0FC"/>
            </w:tcBorders>
          </w:tcPr>
          <w:p>
            <w:pPr>
              <w:spacing w:after="0"/>
              <w:rPr>
                <w:sz w:val="12"/>
                <w:szCs w:val="12"/>
                <w:color w:val="auto"/>
              </w:rPr>
            </w:pPr>
          </w:p>
        </w:tc>
      </w:tr>
      <w:tr>
        <w:trPr>
          <w:trHeight w:val="142"/>
        </w:trPr>
        <w:tc>
          <w:tcPr>
            <w:tcW w:w="7460" w:type="dxa"/>
            <w:vAlign w:val="bottom"/>
            <w:shd w:val="clear" w:color="auto" w:fill="CFF0FC"/>
          </w:tcPr>
          <w:p>
            <w:pPr>
              <w:ind w:left="140"/>
              <w:spacing w:after="0"/>
              <w:rPr>
                <w:sz w:val="20"/>
                <w:szCs w:val="20"/>
                <w:color w:val="auto"/>
              </w:rPr>
            </w:pPr>
            <w:r>
              <w:rPr>
                <w:rFonts w:ascii="Arial" w:cs="Arial" w:eastAsia="Arial" w:hAnsi="Arial"/>
                <w:sz w:val="12"/>
                <w:szCs w:val="12"/>
                <w:b w:val="1"/>
                <w:bCs w:val="1"/>
                <w:color w:val="auto"/>
              </w:rPr>
              <w:t>TOTAL SHAREHOLDERS’ EQUITY</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b w:val="1"/>
                <w:bCs w:val="1"/>
                <w:color w:val="auto"/>
              </w:rPr>
              <w:t>5,530,738</w:t>
            </w:r>
          </w:p>
        </w:tc>
        <w:tc>
          <w:tcPr>
            <w:tcW w:w="80" w:type="dxa"/>
            <w:vAlign w:val="bottom"/>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b w:val="1"/>
                <w:bCs w:val="1"/>
                <w:color w:val="auto"/>
              </w:rPr>
              <w:t>7,130,544</w:t>
            </w:r>
          </w:p>
        </w:tc>
        <w:tc>
          <w:tcPr>
            <w:tcW w:w="100" w:type="dxa"/>
            <w:vAlign w:val="bottom"/>
            <w:shd w:val="clear" w:color="auto" w:fill="CFF0FC"/>
          </w:tcPr>
          <w:p>
            <w:pPr>
              <w:spacing w:after="0"/>
              <w:rPr>
                <w:sz w:val="12"/>
                <w:szCs w:val="12"/>
                <w:color w:val="auto"/>
              </w:rPr>
            </w:pPr>
          </w:p>
        </w:tc>
        <w:tc>
          <w:tcPr>
            <w:tcW w:w="36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b w:val="1"/>
                <w:bCs w:val="1"/>
                <w:color w:val="auto"/>
              </w:rPr>
              <w:t>1,104,382</w:t>
            </w:r>
          </w:p>
        </w:tc>
        <w:tc>
          <w:tcPr>
            <w:tcW w:w="100" w:type="dxa"/>
            <w:vAlign w:val="bottom"/>
            <w:shd w:val="clear" w:color="auto" w:fill="CFF0FC"/>
          </w:tcPr>
          <w:p>
            <w:pPr>
              <w:spacing w:after="0"/>
              <w:rPr>
                <w:sz w:val="12"/>
                <w:szCs w:val="12"/>
                <w:color w:val="auto"/>
              </w:rPr>
            </w:pPr>
          </w:p>
        </w:tc>
      </w:tr>
      <w:tr>
        <w:trPr>
          <w:trHeight w:val="142"/>
        </w:trPr>
        <w:tc>
          <w:tcPr>
            <w:tcW w:w="7460" w:type="dxa"/>
            <w:vAlign w:val="bottom"/>
          </w:tcPr>
          <w:p>
            <w:pPr>
              <w:ind w:left="140"/>
              <w:spacing w:after="0"/>
              <w:rPr>
                <w:sz w:val="20"/>
                <w:szCs w:val="20"/>
                <w:color w:val="auto"/>
              </w:rPr>
            </w:pPr>
            <w:r>
              <w:rPr>
                <w:rFonts w:ascii="Arial" w:cs="Arial" w:eastAsia="Arial" w:hAnsi="Arial"/>
                <w:sz w:val="12"/>
                <w:szCs w:val="12"/>
                <w:b w:val="1"/>
                <w:bCs w:val="1"/>
                <w:color w:val="auto"/>
              </w:rPr>
              <w:t>TOTAL LIABILITIES AND SHAREHOLDERS’ EQUITY</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20,345,165</w:t>
            </w:r>
          </w:p>
        </w:tc>
        <w:tc>
          <w:tcPr>
            <w:tcW w:w="80" w:type="dxa"/>
            <w:vAlign w:val="bottom"/>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20,124,897</w:t>
            </w:r>
          </w:p>
        </w:tc>
        <w:tc>
          <w:tcPr>
            <w:tcW w:w="1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3,116,951</w:t>
            </w:r>
          </w:p>
        </w:tc>
        <w:tc>
          <w:tcPr>
            <w:tcW w:w="100" w:type="dxa"/>
            <w:vAlign w:val="bottom"/>
          </w:tcPr>
          <w:p>
            <w:pPr>
              <w:spacing w:after="0"/>
              <w:rPr>
                <w:sz w:val="12"/>
                <w:szCs w:val="12"/>
                <w:color w:val="auto"/>
              </w:rPr>
            </w:pPr>
          </w:p>
        </w:tc>
      </w:tr>
      <w:tr>
        <w:trPr>
          <w:trHeight w:val="20"/>
        </w:trPr>
        <w:tc>
          <w:tcPr>
            <w:tcW w:w="74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9</w:t>
      </w:r>
      <w:r>
        <w:rPr>
          <w:rFonts w:ascii="Arial" w:cs="Arial" w:eastAsia="Arial" w:hAnsi="Arial"/>
          <w:sz w:val="16"/>
          <w:szCs w:val="16"/>
          <w:color w:val="auto"/>
        </w:rPr>
        <w:t xml:space="preserve"> of </w:t>
      </w:r>
      <w:r>
        <w:rPr>
          <w:rFonts w:ascii="Arial" w:cs="Arial" w:eastAsia="Arial" w:hAnsi="Arial"/>
          <w:sz w:val="16"/>
          <w:szCs w:val="16"/>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LexinFintech Holdings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w:t>
      </w:r>
      <w:r>
        <w:rPr>
          <w:rFonts w:ascii="Arial" w:cs="Arial" w:eastAsia="Arial" w:hAnsi="Arial"/>
          <w:sz w:val="18"/>
          <w:szCs w:val="18"/>
          <w:b w:val="1"/>
          <w:bCs w:val="1"/>
          <w:u w:val="single" w:color="auto"/>
          <w:color w:val="auto"/>
        </w:rPr>
        <w:t>ondensed Consolidated Statements of</w:t>
      </w:r>
      <w:r>
        <w:rPr>
          <w:rFonts w:ascii="Arial" w:cs="Arial" w:eastAsia="Arial" w:hAnsi="Arial"/>
          <w:sz w:val="18"/>
          <w:szCs w:val="18"/>
          <w:b w:val="1"/>
          <w:bCs w:val="1"/>
          <w:color w:val="auto"/>
        </w:rPr>
        <w:t xml:space="preserve">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5715</wp:posOffset>
            </wp:positionV>
            <wp:extent cx="23571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3200" w:type="dxa"/>
            <w:vAlign w:val="bottom"/>
            <w:gridSpan w:val="7"/>
          </w:tcPr>
          <w:p>
            <w:pPr>
              <w:ind w:left="340"/>
              <w:spacing w:after="0"/>
              <w:rPr>
                <w:sz w:val="20"/>
                <w:szCs w:val="20"/>
                <w:color w:val="auto"/>
              </w:rPr>
            </w:pPr>
            <w:r>
              <w:rPr>
                <w:rFonts w:ascii="Arial" w:cs="Arial" w:eastAsia="Arial" w:hAnsi="Arial"/>
                <w:sz w:val="13"/>
                <w:szCs w:val="13"/>
                <w:b w:val="1"/>
                <w:bCs w:val="1"/>
                <w:color w:val="auto"/>
              </w:rPr>
              <w:t>For the Three Months Ended June 30,</w:t>
            </w:r>
          </w:p>
        </w:tc>
        <w:tc>
          <w:tcPr>
            <w:tcW w:w="2940" w:type="dxa"/>
            <w:vAlign w:val="bottom"/>
            <w:gridSpan w:val="5"/>
          </w:tcPr>
          <w:p>
            <w:pPr>
              <w:jc w:val="center"/>
              <w:ind w:left="717"/>
              <w:spacing w:after="0"/>
              <w:rPr>
                <w:sz w:val="20"/>
                <w:szCs w:val="20"/>
                <w:color w:val="auto"/>
              </w:rPr>
            </w:pPr>
            <w:r>
              <w:rPr>
                <w:rFonts w:ascii="Arial" w:cs="Arial" w:eastAsia="Arial" w:hAnsi="Arial"/>
                <w:sz w:val="13"/>
                <w:szCs w:val="13"/>
                <w:b w:val="1"/>
                <w:bCs w:val="1"/>
                <w:color w:val="auto"/>
                <w:w w:val="94"/>
              </w:rPr>
              <w:t>For the Six Months Ended June 30,</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4200" w:type="dxa"/>
            <w:vAlign w:val="bottom"/>
          </w:tcPr>
          <w:p>
            <w:pPr>
              <w:spacing w:after="0"/>
              <w:rPr>
                <w:sz w:val="20"/>
                <w:szCs w:val="20"/>
                <w:color w:val="auto"/>
              </w:rPr>
            </w:pPr>
            <w:r>
              <w:rPr>
                <w:rFonts w:ascii="Arial" w:cs="Arial" w:eastAsia="Arial" w:hAnsi="Arial"/>
                <w:sz w:val="13"/>
                <w:szCs w:val="13"/>
                <w:b w:val="1"/>
                <w:bCs w:val="1"/>
                <w:color w:val="auto"/>
              </w:rPr>
              <w:t>(In thousands, except for share and per share data)</w:t>
            </w:r>
          </w:p>
        </w:tc>
        <w:tc>
          <w:tcPr>
            <w:tcW w:w="96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3"/>
                <w:szCs w:val="13"/>
                <w:b w:val="1"/>
                <w:bCs w:val="1"/>
                <w:color w:val="auto"/>
              </w:rPr>
              <w:t>2021</w:t>
            </w:r>
          </w:p>
        </w:tc>
        <w:tc>
          <w:tcPr>
            <w:tcW w:w="720" w:type="dxa"/>
            <w:vAlign w:val="bottom"/>
            <w:tcBorders>
              <w:top w:val="single" w:sz="8" w:color="auto"/>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Borders>
              <w:top w:val="single" w:sz="8" w:color="auto"/>
              <w:bottom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top w:val="single" w:sz="8" w:color="auto"/>
            </w:tcBorders>
          </w:tcPr>
          <w:p>
            <w:pPr>
              <w:spacing w:after="0"/>
              <w:rPr>
                <w:sz w:val="13"/>
                <w:szCs w:val="13"/>
                <w:color w:val="auto"/>
              </w:rPr>
            </w:pPr>
          </w:p>
        </w:tc>
        <w:tc>
          <w:tcPr>
            <w:tcW w:w="1660" w:type="dxa"/>
            <w:vAlign w:val="bottom"/>
            <w:tcBorders>
              <w:top w:val="single" w:sz="8" w:color="auto"/>
              <w:bottom w:val="single" w:sz="8" w:color="auto"/>
            </w:tcBorders>
            <w:gridSpan w:val="3"/>
          </w:tcPr>
          <w:p>
            <w:pPr>
              <w:jc w:val="right"/>
              <w:ind w:right="320"/>
              <w:spacing w:after="0"/>
              <w:rPr>
                <w:sz w:val="20"/>
                <w:szCs w:val="20"/>
                <w:color w:val="auto"/>
              </w:rPr>
            </w:pPr>
            <w:r>
              <w:rPr>
                <w:rFonts w:ascii="Arial" w:cs="Arial" w:eastAsia="Arial" w:hAnsi="Arial"/>
                <w:sz w:val="13"/>
                <w:szCs w:val="13"/>
                <w:b w:val="1"/>
                <w:bCs w:val="1"/>
                <w:color w:val="auto"/>
              </w:rPr>
              <w:t>2021</w:t>
            </w:r>
          </w:p>
        </w:tc>
        <w:tc>
          <w:tcPr>
            <w:tcW w:w="780" w:type="dxa"/>
            <w:vAlign w:val="bottom"/>
            <w:tcBorders>
              <w:top w:val="single" w:sz="8" w:color="auto"/>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56"/>
        </w:trPr>
        <w:tc>
          <w:tcPr>
            <w:tcW w:w="4200" w:type="dxa"/>
            <w:vAlign w:val="bottom"/>
          </w:tcPr>
          <w:p>
            <w:pPr>
              <w:spacing w:after="0"/>
              <w:rPr>
                <w:sz w:val="13"/>
                <w:szCs w:val="13"/>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RMB</w:t>
            </w:r>
          </w:p>
        </w:tc>
        <w:tc>
          <w:tcPr>
            <w:tcW w:w="1100" w:type="dxa"/>
            <w:vAlign w:val="bottom"/>
            <w:gridSpan w:val="3"/>
          </w:tcPr>
          <w:p>
            <w:pPr>
              <w:jc w:val="right"/>
              <w:ind w:right="540"/>
              <w:spacing w:after="0"/>
              <w:rPr>
                <w:sz w:val="20"/>
                <w:szCs w:val="20"/>
                <w:color w:val="auto"/>
              </w:rPr>
            </w:pPr>
            <w:r>
              <w:rPr>
                <w:rFonts w:ascii="Arial" w:cs="Arial" w:eastAsia="Arial" w:hAnsi="Arial"/>
                <w:sz w:val="13"/>
                <w:szCs w:val="13"/>
                <w:b w:val="1"/>
                <w:bCs w:val="1"/>
                <w:color w:val="auto"/>
              </w:rPr>
              <w:t>RMB</w:t>
            </w:r>
          </w:p>
        </w:tc>
        <w:tc>
          <w:tcPr>
            <w:tcW w:w="1020" w:type="dxa"/>
            <w:vAlign w:val="bottom"/>
            <w:gridSpan w:val="2"/>
          </w:tcPr>
          <w:p>
            <w:pPr>
              <w:jc w:val="right"/>
              <w:ind w:right="640"/>
              <w:spacing w:after="0"/>
              <w:rPr>
                <w:sz w:val="20"/>
                <w:szCs w:val="20"/>
                <w:color w:val="auto"/>
              </w:rPr>
            </w:pPr>
            <w:r>
              <w:rPr>
                <w:rFonts w:ascii="Arial" w:cs="Arial" w:eastAsia="Arial" w:hAnsi="Arial"/>
                <w:sz w:val="13"/>
                <w:szCs w:val="13"/>
                <w:b w:val="1"/>
                <w:bCs w:val="1"/>
                <w:color w:val="auto"/>
              </w:rPr>
              <w:t>US$</w:t>
            </w:r>
          </w:p>
        </w:tc>
        <w:tc>
          <w:tcPr>
            <w:tcW w:w="128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RMB</w:t>
            </w:r>
          </w:p>
        </w:tc>
        <w:tc>
          <w:tcPr>
            <w:tcW w:w="1660" w:type="dxa"/>
            <w:vAlign w:val="bottom"/>
            <w:gridSpan w:val="3"/>
          </w:tcPr>
          <w:p>
            <w:pPr>
              <w:jc w:val="center"/>
              <w:ind w:right="520"/>
              <w:spacing w:after="0"/>
              <w:rPr>
                <w:sz w:val="20"/>
                <w:szCs w:val="20"/>
                <w:color w:val="auto"/>
              </w:rPr>
            </w:pPr>
            <w:r>
              <w:rPr>
                <w:rFonts w:ascii="Arial" w:cs="Arial" w:eastAsia="Arial" w:hAnsi="Arial"/>
                <w:sz w:val="13"/>
                <w:szCs w:val="13"/>
                <w:b w:val="1"/>
                <w:bCs w:val="1"/>
                <w:color w:val="auto"/>
              </w:rPr>
              <w:t>RMB</w:t>
            </w:r>
          </w:p>
        </w:tc>
        <w:tc>
          <w:tcPr>
            <w:tcW w:w="900" w:type="dxa"/>
            <w:vAlign w:val="bottom"/>
            <w:gridSpan w:val="2"/>
          </w:tcPr>
          <w:p>
            <w:pPr>
              <w:jc w:val="right"/>
              <w:ind w:right="600"/>
              <w:spacing w:after="0"/>
              <w:rPr>
                <w:sz w:val="20"/>
                <w:szCs w:val="20"/>
                <w:color w:val="auto"/>
              </w:rPr>
            </w:pPr>
            <w:r>
              <w:rPr>
                <w:rFonts w:ascii="Arial" w:cs="Arial" w:eastAsia="Arial" w:hAnsi="Arial"/>
                <w:sz w:val="13"/>
                <w:szCs w:val="13"/>
                <w:b w:val="1"/>
                <w:bCs w:val="1"/>
                <w:color w:val="auto"/>
              </w:rPr>
              <w:t>US$</w:t>
            </w:r>
          </w:p>
        </w:tc>
      </w:tr>
      <w:tr>
        <w:trPr>
          <w:trHeight w:val="148"/>
        </w:trPr>
        <w:tc>
          <w:tcPr>
            <w:tcW w:w="420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Operating revenue:</w:t>
            </w: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4200" w:type="dxa"/>
            <w:vAlign w:val="bottom"/>
          </w:tcPr>
          <w:p>
            <w:pPr>
              <w:ind w:left="260"/>
              <w:spacing w:after="0"/>
              <w:rPr>
                <w:sz w:val="20"/>
                <w:szCs w:val="20"/>
                <w:color w:val="auto"/>
              </w:rPr>
            </w:pPr>
            <w:r>
              <w:rPr>
                <w:rFonts w:ascii="Arial" w:cs="Arial" w:eastAsia="Arial" w:hAnsi="Arial"/>
                <w:sz w:val="13"/>
                <w:szCs w:val="13"/>
                <w:color w:val="auto"/>
              </w:rPr>
              <w:t>Online direct sales</w:t>
            </w:r>
          </w:p>
        </w:tc>
        <w:tc>
          <w:tcPr>
            <w:tcW w:w="960" w:type="dxa"/>
            <w:vAlign w:val="bottom"/>
          </w:tcPr>
          <w:p>
            <w:pPr>
              <w:jc w:val="right"/>
              <w:spacing w:after="0"/>
              <w:rPr>
                <w:sz w:val="20"/>
                <w:szCs w:val="20"/>
                <w:color w:val="auto"/>
              </w:rPr>
            </w:pPr>
            <w:r>
              <w:rPr>
                <w:rFonts w:ascii="Arial" w:cs="Arial" w:eastAsia="Arial" w:hAnsi="Arial"/>
                <w:sz w:val="13"/>
                <w:szCs w:val="13"/>
                <w:color w:val="auto"/>
              </w:rPr>
              <w:t>521,592</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408,841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63,321</w:t>
            </w:r>
          </w:p>
        </w:tc>
        <w:tc>
          <w:tcPr>
            <w:tcW w:w="3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1,011,116</w:t>
            </w:r>
          </w:p>
        </w:tc>
        <w:tc>
          <w:tcPr>
            <w:tcW w:w="12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835,168</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129,351</w:t>
            </w:r>
          </w:p>
        </w:tc>
        <w:tc>
          <w:tcPr>
            <w:tcW w:w="120" w:type="dxa"/>
            <w:vAlign w:val="bottom"/>
          </w:tcPr>
          <w:p>
            <w:pPr>
              <w:spacing w:after="0"/>
              <w:rPr>
                <w:sz w:val="12"/>
                <w:szCs w:val="12"/>
                <w:color w:val="auto"/>
              </w:rPr>
            </w:pPr>
          </w:p>
        </w:tc>
      </w:tr>
      <w:tr>
        <w:trPr>
          <w:trHeight w:val="148"/>
        </w:trPr>
        <w:tc>
          <w:tcPr>
            <w:tcW w:w="42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Membership services</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24,205</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12,599</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1,951</w:t>
            </w:r>
          </w:p>
        </w:tc>
        <w:tc>
          <w:tcPr>
            <w:tcW w:w="30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48,496</w:t>
            </w: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35,322</w:t>
            </w: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5,471</w:t>
            </w:r>
          </w:p>
        </w:tc>
        <w:tc>
          <w:tcPr>
            <w:tcW w:w="120" w:type="dxa"/>
            <w:vAlign w:val="bottom"/>
            <w:shd w:val="clear" w:color="auto" w:fill="CFF0FC"/>
          </w:tcPr>
          <w:p>
            <w:pPr>
              <w:spacing w:after="0"/>
              <w:rPr>
                <w:sz w:val="12"/>
                <w:szCs w:val="12"/>
                <w:color w:val="auto"/>
              </w:rPr>
            </w:pPr>
          </w:p>
        </w:tc>
      </w:tr>
      <w:tr>
        <w:trPr>
          <w:trHeight w:val="149"/>
        </w:trPr>
        <w:tc>
          <w:tcPr>
            <w:tcW w:w="4200" w:type="dxa"/>
            <w:vAlign w:val="bottom"/>
            <w:tcBorders>
              <w:bottom w:val="single" w:sz="8" w:color="CFF0FC"/>
            </w:tcBorders>
          </w:tcPr>
          <w:p>
            <w:pPr>
              <w:ind w:left="260"/>
              <w:spacing w:after="0"/>
              <w:rPr>
                <w:sz w:val="20"/>
                <w:szCs w:val="20"/>
                <w:color w:val="auto"/>
              </w:rPr>
            </w:pPr>
            <w:r>
              <w:rPr>
                <w:rFonts w:ascii="Arial" w:cs="Arial" w:eastAsia="Arial" w:hAnsi="Arial"/>
                <w:sz w:val="13"/>
                <w:szCs w:val="13"/>
                <w:color w:val="auto"/>
              </w:rPr>
              <w:t>Other services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24,154</w:t>
            </w:r>
          </w:p>
        </w:tc>
        <w:tc>
          <w:tcPr>
            <w:tcW w:w="12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19,582</w:t>
            </w:r>
          </w:p>
        </w:tc>
        <w:tc>
          <w:tcPr>
            <w:tcW w:w="10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3,032</w:t>
            </w:r>
          </w:p>
        </w:tc>
        <w:tc>
          <w:tcPr>
            <w:tcW w:w="300" w:type="dxa"/>
            <w:vAlign w:val="bottom"/>
            <w:tcBorders>
              <w:bottom w:val="single" w:sz="8" w:color="CFF0FC"/>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37,360</w:t>
            </w:r>
          </w:p>
        </w:tc>
        <w:tc>
          <w:tcPr>
            <w:tcW w:w="120" w:type="dxa"/>
            <w:vAlign w:val="bottom"/>
            <w:tcBorders>
              <w:bottom w:val="single" w:sz="8" w:color="CFF0FC"/>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41,172</w:t>
            </w:r>
          </w:p>
        </w:tc>
        <w:tc>
          <w:tcPr>
            <w:tcW w:w="100" w:type="dxa"/>
            <w:vAlign w:val="bottom"/>
            <w:tcBorders>
              <w:bottom w:val="single" w:sz="8" w:color="CFF0FC"/>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6,377</w:t>
            </w:r>
          </w:p>
        </w:tc>
        <w:tc>
          <w:tcPr>
            <w:tcW w:w="120" w:type="dxa"/>
            <w:vAlign w:val="bottom"/>
            <w:tcBorders>
              <w:bottom w:val="single" w:sz="8" w:color="CFF0FC"/>
            </w:tcBorders>
          </w:tcPr>
          <w:p>
            <w:pPr>
              <w:spacing w:after="0"/>
              <w:rPr>
                <w:sz w:val="12"/>
                <w:szCs w:val="12"/>
                <w:color w:val="auto"/>
              </w:rPr>
            </w:pPr>
          </w:p>
        </w:tc>
      </w:tr>
      <w:tr>
        <w:trPr>
          <w:trHeight w:val="142"/>
        </w:trPr>
        <w:tc>
          <w:tcPr>
            <w:tcW w:w="4200" w:type="dxa"/>
            <w:vAlign w:val="bottom"/>
            <w:shd w:val="clear" w:color="auto" w:fill="CFF0FC"/>
          </w:tcPr>
          <w:p>
            <w:pPr>
              <w:ind w:left="100"/>
              <w:spacing w:after="0" w:line="142" w:lineRule="exact"/>
              <w:rPr>
                <w:sz w:val="20"/>
                <w:szCs w:val="20"/>
                <w:color w:val="auto"/>
              </w:rPr>
            </w:pPr>
            <w:r>
              <w:rPr>
                <w:rFonts w:ascii="Arial" w:cs="Arial" w:eastAsia="Arial" w:hAnsi="Arial"/>
                <w:sz w:val="13"/>
                <w:szCs w:val="13"/>
                <w:b w:val="1"/>
                <w:bCs w:val="1"/>
                <w:color w:val="auto"/>
              </w:rPr>
              <w:t>Online direct sales and services income</w:t>
            </w:r>
          </w:p>
        </w:tc>
        <w:tc>
          <w:tcPr>
            <w:tcW w:w="9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569,951</w:t>
            </w:r>
          </w:p>
        </w:tc>
        <w:tc>
          <w:tcPr>
            <w:tcW w:w="120" w:type="dxa"/>
            <w:vAlign w:val="bottom"/>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441,022</w:t>
            </w:r>
          </w:p>
        </w:tc>
        <w:tc>
          <w:tcPr>
            <w:tcW w:w="100" w:type="dxa"/>
            <w:vAlign w:val="bottom"/>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68,304</w:t>
            </w:r>
          </w:p>
        </w:tc>
        <w:tc>
          <w:tcPr>
            <w:tcW w:w="300" w:type="dxa"/>
            <w:vAlign w:val="bottom"/>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1,096,972</w:t>
            </w:r>
          </w:p>
        </w:tc>
        <w:tc>
          <w:tcPr>
            <w:tcW w:w="120" w:type="dxa"/>
            <w:vAlign w:val="bottom"/>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911,662</w:t>
            </w:r>
          </w:p>
        </w:tc>
        <w:tc>
          <w:tcPr>
            <w:tcW w:w="100" w:type="dxa"/>
            <w:vAlign w:val="bottom"/>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141,199</w:t>
            </w:r>
          </w:p>
        </w:tc>
        <w:tc>
          <w:tcPr>
            <w:tcW w:w="120" w:type="dxa"/>
            <w:vAlign w:val="bottom"/>
            <w:shd w:val="clear" w:color="auto" w:fill="CFF0FC"/>
          </w:tcPr>
          <w:p>
            <w:pPr>
              <w:spacing w:after="0"/>
              <w:rPr>
                <w:sz w:val="12"/>
                <w:szCs w:val="12"/>
                <w:color w:val="auto"/>
              </w:rPr>
            </w:pPr>
          </w:p>
        </w:tc>
      </w:tr>
      <w:tr>
        <w:trPr>
          <w:trHeight w:val="142"/>
        </w:trPr>
        <w:tc>
          <w:tcPr>
            <w:tcW w:w="4200" w:type="dxa"/>
            <w:vAlign w:val="bottom"/>
          </w:tcPr>
          <w:p>
            <w:pPr>
              <w:ind w:left="260"/>
              <w:spacing w:after="0" w:line="142" w:lineRule="exact"/>
              <w:rPr>
                <w:sz w:val="20"/>
                <w:szCs w:val="20"/>
                <w:color w:val="auto"/>
              </w:rPr>
            </w:pPr>
            <w:r>
              <w:rPr>
                <w:rFonts w:ascii="Arial" w:cs="Arial" w:eastAsia="Arial" w:hAnsi="Arial"/>
                <w:sz w:val="13"/>
                <w:szCs w:val="13"/>
                <w:color w:val="auto"/>
              </w:rPr>
              <w:t>Loan facilitation and servicing fees-credit oriented</w:t>
            </w:r>
          </w:p>
        </w:tc>
        <w:tc>
          <w:tcPr>
            <w:tcW w:w="960" w:type="dxa"/>
            <w:vAlign w:val="bottom"/>
          </w:tcPr>
          <w:p>
            <w:pPr>
              <w:jc w:val="right"/>
              <w:spacing w:after="0" w:line="142" w:lineRule="exact"/>
              <w:rPr>
                <w:sz w:val="20"/>
                <w:szCs w:val="20"/>
                <w:color w:val="auto"/>
              </w:rPr>
            </w:pPr>
            <w:r>
              <w:rPr>
                <w:rFonts w:ascii="Arial" w:cs="Arial" w:eastAsia="Arial" w:hAnsi="Arial"/>
                <w:sz w:val="13"/>
                <w:szCs w:val="13"/>
                <w:color w:val="auto"/>
              </w:rPr>
              <w:t>931,295</w:t>
            </w:r>
          </w:p>
        </w:tc>
        <w:tc>
          <w:tcPr>
            <w:tcW w:w="12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3"/>
                <w:szCs w:val="13"/>
                <w:color w:val="auto"/>
              </w:rPr>
              <w:t>1,594,835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3"/>
                <w:szCs w:val="13"/>
                <w:color w:val="auto"/>
              </w:rPr>
              <w:t>247,008</w:t>
            </w:r>
          </w:p>
        </w:tc>
        <w:tc>
          <w:tcPr>
            <w:tcW w:w="300" w:type="dxa"/>
            <w:vAlign w:val="bottom"/>
          </w:tcPr>
          <w:p>
            <w:pPr>
              <w:spacing w:after="0"/>
              <w:rPr>
                <w:sz w:val="12"/>
                <w:szCs w:val="12"/>
                <w:color w:val="auto"/>
              </w:rPr>
            </w:pPr>
          </w:p>
        </w:tc>
        <w:tc>
          <w:tcPr>
            <w:tcW w:w="1160" w:type="dxa"/>
            <w:vAlign w:val="bottom"/>
          </w:tcPr>
          <w:p>
            <w:pPr>
              <w:jc w:val="right"/>
              <w:spacing w:after="0" w:line="142" w:lineRule="exact"/>
              <w:rPr>
                <w:sz w:val="20"/>
                <w:szCs w:val="20"/>
                <w:color w:val="auto"/>
              </w:rPr>
            </w:pPr>
            <w:r>
              <w:rPr>
                <w:rFonts w:ascii="Arial" w:cs="Arial" w:eastAsia="Arial" w:hAnsi="Arial"/>
                <w:sz w:val="13"/>
                <w:szCs w:val="13"/>
                <w:color w:val="auto"/>
              </w:rPr>
              <w:t>1,694,263</w:t>
            </w:r>
          </w:p>
        </w:tc>
        <w:tc>
          <w:tcPr>
            <w:tcW w:w="120" w:type="dxa"/>
            <w:vAlign w:val="bottom"/>
          </w:tcPr>
          <w:p>
            <w:pPr>
              <w:spacing w:after="0"/>
              <w:rPr>
                <w:sz w:val="12"/>
                <w:szCs w:val="12"/>
                <w:color w:val="auto"/>
              </w:rPr>
            </w:pPr>
          </w:p>
        </w:tc>
        <w:tc>
          <w:tcPr>
            <w:tcW w:w="1160" w:type="dxa"/>
            <w:vAlign w:val="bottom"/>
          </w:tcPr>
          <w:p>
            <w:pPr>
              <w:jc w:val="right"/>
              <w:spacing w:after="0" w:line="142" w:lineRule="exact"/>
              <w:rPr>
                <w:sz w:val="20"/>
                <w:szCs w:val="20"/>
                <w:color w:val="auto"/>
              </w:rPr>
            </w:pPr>
            <w:r>
              <w:rPr>
                <w:rFonts w:ascii="Arial" w:cs="Arial" w:eastAsia="Arial" w:hAnsi="Arial"/>
                <w:sz w:val="13"/>
                <w:szCs w:val="13"/>
                <w:color w:val="auto"/>
              </w:rPr>
              <w:t>2,655,255</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3"/>
                <w:szCs w:val="13"/>
                <w:color w:val="auto"/>
              </w:rPr>
              <w:t>411,247</w:t>
            </w:r>
          </w:p>
        </w:tc>
        <w:tc>
          <w:tcPr>
            <w:tcW w:w="120" w:type="dxa"/>
            <w:vAlign w:val="bottom"/>
          </w:tcPr>
          <w:p>
            <w:pPr>
              <w:spacing w:after="0"/>
              <w:rPr>
                <w:sz w:val="12"/>
                <w:szCs w:val="12"/>
                <w:color w:val="auto"/>
              </w:rPr>
            </w:pPr>
          </w:p>
        </w:tc>
      </w:tr>
      <w:tr>
        <w:trPr>
          <w:trHeight w:val="149"/>
        </w:trPr>
        <w:tc>
          <w:tcPr>
            <w:tcW w:w="42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Interest and financial services income and other revenues</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331,593</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409,663</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63,449</w:t>
            </w:r>
          </w:p>
        </w:tc>
        <w:tc>
          <w:tcPr>
            <w:tcW w:w="30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577,522</w:t>
            </w: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951,300</w:t>
            </w: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147,338</w:t>
            </w:r>
          </w:p>
        </w:tc>
        <w:tc>
          <w:tcPr>
            <w:tcW w:w="120" w:type="dxa"/>
            <w:vAlign w:val="bottom"/>
            <w:shd w:val="clear" w:color="auto" w:fill="CFF0FC"/>
          </w:tcPr>
          <w:p>
            <w:pPr>
              <w:spacing w:after="0"/>
              <w:rPr>
                <w:sz w:val="12"/>
                <w:szCs w:val="12"/>
                <w:color w:val="auto"/>
              </w:rPr>
            </w:pPr>
          </w:p>
        </w:tc>
      </w:tr>
      <w:tr>
        <w:trPr>
          <w:trHeight w:val="148"/>
        </w:trPr>
        <w:tc>
          <w:tcPr>
            <w:tcW w:w="4200" w:type="dxa"/>
            <w:vAlign w:val="bottom"/>
            <w:tcBorders>
              <w:bottom w:val="single" w:sz="8" w:color="CFF0FC"/>
            </w:tcBorders>
          </w:tcPr>
          <w:p>
            <w:pPr>
              <w:ind w:left="260"/>
              <w:spacing w:after="0"/>
              <w:rPr>
                <w:sz w:val="20"/>
                <w:szCs w:val="20"/>
                <w:color w:val="auto"/>
              </w:rPr>
            </w:pPr>
            <w:r>
              <w:rPr>
                <w:rFonts w:ascii="Arial" w:cs="Arial" w:eastAsia="Arial" w:hAnsi="Arial"/>
                <w:sz w:val="13"/>
                <w:szCs w:val="13"/>
                <w:color w:val="auto"/>
              </w:rPr>
              <w:t>Guarantee income</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706,271</w:t>
            </w:r>
          </w:p>
        </w:tc>
        <w:tc>
          <w:tcPr>
            <w:tcW w:w="12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203,595</w:t>
            </w:r>
          </w:p>
        </w:tc>
        <w:tc>
          <w:tcPr>
            <w:tcW w:w="10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31,533</w:t>
            </w:r>
          </w:p>
        </w:tc>
        <w:tc>
          <w:tcPr>
            <w:tcW w:w="300" w:type="dxa"/>
            <w:vAlign w:val="bottom"/>
            <w:tcBorders>
              <w:bottom w:val="single" w:sz="8" w:color="CFF0FC"/>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1,383,571</w:t>
            </w:r>
          </w:p>
        </w:tc>
        <w:tc>
          <w:tcPr>
            <w:tcW w:w="120" w:type="dxa"/>
            <w:vAlign w:val="bottom"/>
            <w:tcBorders>
              <w:bottom w:val="single" w:sz="8" w:color="CFF0FC"/>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438,644</w:t>
            </w:r>
          </w:p>
        </w:tc>
        <w:tc>
          <w:tcPr>
            <w:tcW w:w="100" w:type="dxa"/>
            <w:vAlign w:val="bottom"/>
            <w:tcBorders>
              <w:bottom w:val="single" w:sz="8" w:color="CFF0FC"/>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67,937</w:t>
            </w:r>
          </w:p>
        </w:tc>
        <w:tc>
          <w:tcPr>
            <w:tcW w:w="120" w:type="dxa"/>
            <w:vAlign w:val="bottom"/>
            <w:tcBorders>
              <w:bottom w:val="single" w:sz="8" w:color="CFF0FC"/>
            </w:tcBorders>
          </w:tcPr>
          <w:p>
            <w:pPr>
              <w:spacing w:after="0"/>
              <w:rPr>
                <w:sz w:val="12"/>
                <w:szCs w:val="12"/>
                <w:color w:val="auto"/>
              </w:rPr>
            </w:pPr>
          </w:p>
        </w:tc>
      </w:tr>
      <w:tr>
        <w:trPr>
          <w:trHeight w:val="142"/>
        </w:trPr>
        <w:tc>
          <w:tcPr>
            <w:tcW w:w="4200" w:type="dxa"/>
            <w:vAlign w:val="bottom"/>
            <w:shd w:val="clear" w:color="auto" w:fill="CFF0FC"/>
          </w:tcPr>
          <w:p>
            <w:pPr>
              <w:ind w:left="140"/>
              <w:spacing w:after="0" w:line="142" w:lineRule="exact"/>
              <w:rPr>
                <w:sz w:val="20"/>
                <w:szCs w:val="20"/>
                <w:color w:val="auto"/>
              </w:rPr>
            </w:pPr>
            <w:r>
              <w:rPr>
                <w:rFonts w:ascii="Arial" w:cs="Arial" w:eastAsia="Arial" w:hAnsi="Arial"/>
                <w:sz w:val="13"/>
                <w:szCs w:val="13"/>
                <w:b w:val="1"/>
                <w:bCs w:val="1"/>
                <w:color w:val="auto"/>
              </w:rPr>
              <w:t>Credit-oriented services income</w:t>
            </w:r>
          </w:p>
        </w:tc>
        <w:tc>
          <w:tcPr>
            <w:tcW w:w="9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1,969,159</w:t>
            </w:r>
          </w:p>
        </w:tc>
        <w:tc>
          <w:tcPr>
            <w:tcW w:w="120" w:type="dxa"/>
            <w:vAlign w:val="bottom"/>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2,208,093</w:t>
            </w:r>
          </w:p>
        </w:tc>
        <w:tc>
          <w:tcPr>
            <w:tcW w:w="100" w:type="dxa"/>
            <w:vAlign w:val="bottom"/>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341,990</w:t>
            </w:r>
          </w:p>
        </w:tc>
        <w:tc>
          <w:tcPr>
            <w:tcW w:w="300" w:type="dxa"/>
            <w:vAlign w:val="bottom"/>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3,655,356</w:t>
            </w:r>
          </w:p>
        </w:tc>
        <w:tc>
          <w:tcPr>
            <w:tcW w:w="120" w:type="dxa"/>
            <w:vAlign w:val="bottom"/>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4,045,199</w:t>
            </w:r>
          </w:p>
        </w:tc>
        <w:tc>
          <w:tcPr>
            <w:tcW w:w="100" w:type="dxa"/>
            <w:vAlign w:val="bottom"/>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626,522</w:t>
            </w:r>
          </w:p>
        </w:tc>
        <w:tc>
          <w:tcPr>
            <w:tcW w:w="120" w:type="dxa"/>
            <w:vAlign w:val="bottom"/>
            <w:shd w:val="clear" w:color="auto" w:fill="CFF0FC"/>
          </w:tcPr>
          <w:p>
            <w:pPr>
              <w:spacing w:after="0"/>
              <w:rPr>
                <w:sz w:val="12"/>
                <w:szCs w:val="12"/>
                <w:color w:val="auto"/>
              </w:rPr>
            </w:pPr>
          </w:p>
        </w:tc>
      </w:tr>
      <w:tr>
        <w:trPr>
          <w:trHeight w:val="142"/>
        </w:trPr>
        <w:tc>
          <w:tcPr>
            <w:tcW w:w="4200" w:type="dxa"/>
            <w:vAlign w:val="bottom"/>
          </w:tcPr>
          <w:p>
            <w:pPr>
              <w:ind w:left="260"/>
              <w:spacing w:after="0" w:line="142" w:lineRule="exact"/>
              <w:rPr>
                <w:sz w:val="20"/>
                <w:szCs w:val="20"/>
                <w:color w:val="auto"/>
              </w:rPr>
            </w:pPr>
            <w:r>
              <w:rPr>
                <w:rFonts w:ascii="Arial" w:cs="Arial" w:eastAsia="Arial" w:hAnsi="Arial"/>
                <w:sz w:val="13"/>
                <w:szCs w:val="13"/>
                <w:color w:val="auto"/>
              </w:rPr>
              <w:t>Loan facilitation and servicing fees-performance based</w:t>
            </w:r>
          </w:p>
        </w:tc>
        <w:tc>
          <w:tcPr>
            <w:tcW w:w="960" w:type="dxa"/>
            <w:vAlign w:val="bottom"/>
          </w:tcPr>
          <w:p>
            <w:pPr>
              <w:jc w:val="right"/>
              <w:spacing w:after="0" w:line="142" w:lineRule="exact"/>
              <w:rPr>
                <w:sz w:val="20"/>
                <w:szCs w:val="20"/>
                <w:color w:val="auto"/>
              </w:rPr>
            </w:pPr>
            <w:r>
              <w:rPr>
                <w:rFonts w:ascii="Arial" w:cs="Arial" w:eastAsia="Arial" w:hAnsi="Arial"/>
                <w:sz w:val="13"/>
                <w:szCs w:val="13"/>
                <w:color w:val="auto"/>
              </w:rPr>
              <w:t>393,595</w:t>
            </w:r>
          </w:p>
        </w:tc>
        <w:tc>
          <w:tcPr>
            <w:tcW w:w="12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3"/>
                <w:szCs w:val="13"/>
                <w:color w:val="auto"/>
              </w:rPr>
              <w:t>543,225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3"/>
                <w:szCs w:val="13"/>
                <w:color w:val="auto"/>
              </w:rPr>
              <w:t>84,135</w:t>
            </w:r>
          </w:p>
        </w:tc>
        <w:tc>
          <w:tcPr>
            <w:tcW w:w="300" w:type="dxa"/>
            <w:vAlign w:val="bottom"/>
          </w:tcPr>
          <w:p>
            <w:pPr>
              <w:spacing w:after="0"/>
              <w:rPr>
                <w:sz w:val="12"/>
                <w:szCs w:val="12"/>
                <w:color w:val="auto"/>
              </w:rPr>
            </w:pPr>
          </w:p>
        </w:tc>
        <w:tc>
          <w:tcPr>
            <w:tcW w:w="1160" w:type="dxa"/>
            <w:vAlign w:val="bottom"/>
          </w:tcPr>
          <w:p>
            <w:pPr>
              <w:jc w:val="right"/>
              <w:spacing w:after="0" w:line="142" w:lineRule="exact"/>
              <w:rPr>
                <w:sz w:val="20"/>
                <w:szCs w:val="20"/>
                <w:color w:val="auto"/>
              </w:rPr>
            </w:pPr>
            <w:r>
              <w:rPr>
                <w:rFonts w:ascii="Arial" w:cs="Arial" w:eastAsia="Arial" w:hAnsi="Arial"/>
                <w:sz w:val="13"/>
                <w:szCs w:val="13"/>
                <w:color w:val="auto"/>
              </w:rPr>
              <w:t>670,983</w:t>
            </w:r>
          </w:p>
        </w:tc>
        <w:tc>
          <w:tcPr>
            <w:tcW w:w="120" w:type="dxa"/>
            <w:vAlign w:val="bottom"/>
          </w:tcPr>
          <w:p>
            <w:pPr>
              <w:spacing w:after="0"/>
              <w:rPr>
                <w:sz w:val="12"/>
                <w:szCs w:val="12"/>
                <w:color w:val="auto"/>
              </w:rPr>
            </w:pPr>
          </w:p>
        </w:tc>
        <w:tc>
          <w:tcPr>
            <w:tcW w:w="1160" w:type="dxa"/>
            <w:vAlign w:val="bottom"/>
          </w:tcPr>
          <w:p>
            <w:pPr>
              <w:jc w:val="right"/>
              <w:spacing w:after="0" w:line="142" w:lineRule="exact"/>
              <w:rPr>
                <w:sz w:val="20"/>
                <w:szCs w:val="20"/>
                <w:color w:val="auto"/>
              </w:rPr>
            </w:pPr>
            <w:r>
              <w:rPr>
                <w:rFonts w:ascii="Arial" w:cs="Arial" w:eastAsia="Arial" w:hAnsi="Arial"/>
                <w:sz w:val="13"/>
                <w:szCs w:val="13"/>
                <w:color w:val="auto"/>
              </w:rPr>
              <w:t>1,116,174</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3"/>
                <w:szCs w:val="13"/>
                <w:color w:val="auto"/>
              </w:rPr>
              <w:t>172,873</w:t>
            </w:r>
          </w:p>
        </w:tc>
        <w:tc>
          <w:tcPr>
            <w:tcW w:w="120" w:type="dxa"/>
            <w:vAlign w:val="bottom"/>
          </w:tcPr>
          <w:p>
            <w:pPr>
              <w:spacing w:after="0"/>
              <w:rPr>
                <w:sz w:val="12"/>
                <w:szCs w:val="12"/>
                <w:color w:val="auto"/>
              </w:rPr>
            </w:pPr>
          </w:p>
        </w:tc>
      </w:tr>
      <w:tr>
        <w:trPr>
          <w:trHeight w:val="148"/>
        </w:trPr>
        <w:tc>
          <w:tcPr>
            <w:tcW w:w="42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Loan facilitation and servicing fees-volume based</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25,301</w:t>
            </w:r>
          </w:p>
        </w:tc>
        <w:tc>
          <w:tcPr>
            <w:tcW w:w="120" w:type="dxa"/>
            <w:vAlign w:val="bottom"/>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76,496</w:t>
            </w:r>
          </w:p>
        </w:tc>
        <w:tc>
          <w:tcPr>
            <w:tcW w:w="100" w:type="dxa"/>
            <w:vAlign w:val="bottom"/>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11,848</w:t>
            </w:r>
          </w:p>
        </w:tc>
        <w:tc>
          <w:tcPr>
            <w:tcW w:w="300" w:type="dxa"/>
            <w:vAlign w:val="bottom"/>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34,729</w:t>
            </w:r>
          </w:p>
        </w:tc>
        <w:tc>
          <w:tcPr>
            <w:tcW w:w="120" w:type="dxa"/>
            <w:vAlign w:val="bottom"/>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139,484</w:t>
            </w:r>
          </w:p>
        </w:tc>
        <w:tc>
          <w:tcPr>
            <w:tcW w:w="100" w:type="dxa"/>
            <w:vAlign w:val="bottom"/>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21,603</w:t>
            </w:r>
          </w:p>
        </w:tc>
        <w:tc>
          <w:tcPr>
            <w:tcW w:w="120" w:type="dxa"/>
            <w:vAlign w:val="bottom"/>
            <w:shd w:val="clear" w:color="auto" w:fill="CFF0FC"/>
          </w:tcPr>
          <w:p>
            <w:pPr>
              <w:spacing w:after="0"/>
              <w:rPr>
                <w:sz w:val="12"/>
                <w:szCs w:val="12"/>
                <w:color w:val="auto"/>
              </w:rPr>
            </w:pPr>
          </w:p>
        </w:tc>
      </w:tr>
      <w:tr>
        <w:trPr>
          <w:trHeight w:val="142"/>
        </w:trPr>
        <w:tc>
          <w:tcPr>
            <w:tcW w:w="4200" w:type="dxa"/>
            <w:vAlign w:val="bottom"/>
            <w:tcBorders>
              <w:bottom w:val="single" w:sz="8" w:color="CFF0FC"/>
            </w:tcBorders>
          </w:tcPr>
          <w:p>
            <w:pPr>
              <w:ind w:left="140"/>
              <w:spacing w:after="0" w:line="142" w:lineRule="exact"/>
              <w:rPr>
                <w:sz w:val="20"/>
                <w:szCs w:val="20"/>
                <w:color w:val="auto"/>
              </w:rPr>
            </w:pPr>
            <w:r>
              <w:rPr>
                <w:rFonts w:ascii="Arial" w:cs="Arial" w:eastAsia="Arial" w:hAnsi="Arial"/>
                <w:sz w:val="13"/>
                <w:szCs w:val="13"/>
                <w:b w:val="1"/>
                <w:bCs w:val="1"/>
                <w:color w:val="auto"/>
              </w:rPr>
              <w:t>Platform-based services income</w:t>
            </w:r>
          </w:p>
        </w:tc>
        <w:tc>
          <w:tcPr>
            <w:tcW w:w="9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418,896</w:t>
            </w:r>
          </w:p>
        </w:tc>
        <w:tc>
          <w:tcPr>
            <w:tcW w:w="12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619,721</w:t>
            </w:r>
          </w:p>
        </w:tc>
        <w:tc>
          <w:tcPr>
            <w:tcW w:w="10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95,983</w:t>
            </w:r>
          </w:p>
        </w:tc>
        <w:tc>
          <w:tcPr>
            <w:tcW w:w="300" w:type="dxa"/>
            <w:vAlign w:val="bottom"/>
            <w:tcBorders>
              <w:bottom w:val="single" w:sz="8" w:color="CFF0FC"/>
            </w:tcBorders>
          </w:tcPr>
          <w:p>
            <w:pPr>
              <w:spacing w:after="0"/>
              <w:rPr>
                <w:sz w:val="12"/>
                <w:szCs w:val="12"/>
                <w:color w:val="auto"/>
              </w:rPr>
            </w:pPr>
          </w:p>
        </w:tc>
        <w:tc>
          <w:tcPr>
            <w:tcW w:w="1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705,712</w:t>
            </w:r>
          </w:p>
        </w:tc>
        <w:tc>
          <w:tcPr>
            <w:tcW w:w="120" w:type="dxa"/>
            <w:vAlign w:val="bottom"/>
            <w:tcBorders>
              <w:bottom w:val="single" w:sz="8" w:color="CFF0FC"/>
            </w:tcBorders>
          </w:tcPr>
          <w:p>
            <w:pPr>
              <w:spacing w:after="0"/>
              <w:rPr>
                <w:sz w:val="12"/>
                <w:szCs w:val="12"/>
                <w:color w:val="auto"/>
              </w:rPr>
            </w:pPr>
          </w:p>
        </w:tc>
        <w:tc>
          <w:tcPr>
            <w:tcW w:w="1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1,255,658</w:t>
            </w:r>
          </w:p>
        </w:tc>
        <w:tc>
          <w:tcPr>
            <w:tcW w:w="100" w:type="dxa"/>
            <w:vAlign w:val="bottom"/>
            <w:tcBorders>
              <w:bottom w:val="single" w:sz="8" w:color="CFF0FC"/>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194,476</w:t>
            </w:r>
          </w:p>
        </w:tc>
        <w:tc>
          <w:tcPr>
            <w:tcW w:w="120" w:type="dxa"/>
            <w:vAlign w:val="bottom"/>
            <w:tcBorders>
              <w:bottom w:val="single" w:sz="8" w:color="CFF0FC"/>
            </w:tcBorders>
          </w:tcPr>
          <w:p>
            <w:pPr>
              <w:spacing w:after="0"/>
              <w:rPr>
                <w:sz w:val="12"/>
                <w:szCs w:val="12"/>
                <w:color w:val="auto"/>
              </w:rPr>
            </w:pPr>
          </w:p>
        </w:tc>
      </w:tr>
      <w:tr>
        <w:trPr>
          <w:trHeight w:val="142"/>
        </w:trPr>
        <w:tc>
          <w:tcPr>
            <w:tcW w:w="4200" w:type="dxa"/>
            <w:vAlign w:val="bottom"/>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Total operating revenue</w:t>
            </w:r>
          </w:p>
        </w:tc>
        <w:tc>
          <w:tcPr>
            <w:tcW w:w="9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2,958,006</w:t>
            </w:r>
          </w:p>
        </w:tc>
        <w:tc>
          <w:tcPr>
            <w:tcW w:w="120" w:type="dxa"/>
            <w:vAlign w:val="bottom"/>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3,268,836</w:t>
            </w:r>
          </w:p>
        </w:tc>
        <w:tc>
          <w:tcPr>
            <w:tcW w:w="100" w:type="dxa"/>
            <w:vAlign w:val="bottom"/>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506,277</w:t>
            </w:r>
          </w:p>
        </w:tc>
        <w:tc>
          <w:tcPr>
            <w:tcW w:w="300" w:type="dxa"/>
            <w:vAlign w:val="bottom"/>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5,458,040</w:t>
            </w:r>
          </w:p>
        </w:tc>
        <w:tc>
          <w:tcPr>
            <w:tcW w:w="120" w:type="dxa"/>
            <w:vAlign w:val="bottom"/>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6,212,519</w:t>
            </w:r>
          </w:p>
        </w:tc>
        <w:tc>
          <w:tcPr>
            <w:tcW w:w="100" w:type="dxa"/>
            <w:vAlign w:val="bottom"/>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962,197</w:t>
            </w:r>
          </w:p>
        </w:tc>
        <w:tc>
          <w:tcPr>
            <w:tcW w:w="120" w:type="dxa"/>
            <w:vAlign w:val="bottom"/>
            <w:shd w:val="clear" w:color="auto" w:fill="CFF0FC"/>
          </w:tcPr>
          <w:p>
            <w:pPr>
              <w:spacing w:after="0"/>
              <w:rPr>
                <w:sz w:val="12"/>
                <w:szCs w:val="12"/>
                <w:color w:val="auto"/>
              </w:rPr>
            </w:pPr>
          </w:p>
        </w:tc>
      </w:tr>
      <w:tr>
        <w:trPr>
          <w:trHeight w:val="142"/>
        </w:trPr>
        <w:tc>
          <w:tcPr>
            <w:tcW w:w="4200" w:type="dxa"/>
            <w:vAlign w:val="bottom"/>
          </w:tcPr>
          <w:p>
            <w:pPr>
              <w:spacing w:after="0" w:line="142" w:lineRule="exact"/>
              <w:rPr>
                <w:sz w:val="20"/>
                <w:szCs w:val="20"/>
                <w:color w:val="auto"/>
              </w:rPr>
            </w:pPr>
            <w:r>
              <w:rPr>
                <w:rFonts w:ascii="Arial" w:cs="Arial" w:eastAsia="Arial" w:hAnsi="Arial"/>
                <w:sz w:val="13"/>
                <w:szCs w:val="13"/>
                <w:b w:val="1"/>
                <w:bCs w:val="1"/>
                <w:color w:val="auto"/>
              </w:rPr>
              <w:t>Operating cost:</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42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Cost of sales</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(519,713)</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(426,991)</w:t>
            </w:r>
          </w:p>
        </w:tc>
        <w:tc>
          <w:tcPr>
            <w:tcW w:w="1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(66,132)</w:t>
            </w: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(999,880)</w:t>
            </w: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(860,460)</w:t>
            </w:r>
          </w:p>
        </w:tc>
        <w:tc>
          <w:tcPr>
            <w:tcW w:w="4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(133,268)</w:t>
            </w:r>
          </w:p>
        </w:tc>
      </w:tr>
      <w:tr>
        <w:trPr>
          <w:trHeight w:val="148"/>
        </w:trPr>
        <w:tc>
          <w:tcPr>
            <w:tcW w:w="4200" w:type="dxa"/>
            <w:vAlign w:val="bottom"/>
          </w:tcPr>
          <w:p>
            <w:pPr>
              <w:ind w:left="260"/>
              <w:spacing w:after="0"/>
              <w:rPr>
                <w:sz w:val="20"/>
                <w:szCs w:val="20"/>
                <w:color w:val="auto"/>
              </w:rPr>
            </w:pPr>
            <w:r>
              <w:rPr>
                <w:rFonts w:ascii="Arial" w:cs="Arial" w:eastAsia="Arial" w:hAnsi="Arial"/>
                <w:sz w:val="13"/>
                <w:szCs w:val="13"/>
                <w:color w:val="auto"/>
              </w:rPr>
              <w:t>Funding cost</w:t>
            </w:r>
          </w:p>
        </w:tc>
        <w:tc>
          <w:tcPr>
            <w:tcW w:w="1080" w:type="dxa"/>
            <w:vAlign w:val="bottom"/>
            <w:gridSpan w:val="2"/>
          </w:tcPr>
          <w:p>
            <w:pPr>
              <w:jc w:val="right"/>
              <w:ind w:right="80"/>
              <w:spacing w:after="0"/>
              <w:rPr>
                <w:sz w:val="20"/>
                <w:szCs w:val="20"/>
                <w:color w:val="auto"/>
              </w:rPr>
            </w:pPr>
            <w:r>
              <w:rPr>
                <w:rFonts w:ascii="Arial" w:cs="Arial" w:eastAsia="Arial" w:hAnsi="Arial"/>
                <w:sz w:val="13"/>
                <w:szCs w:val="13"/>
                <w:color w:val="auto"/>
              </w:rPr>
              <w:t>(163,363)</w:t>
            </w:r>
          </w:p>
        </w:tc>
        <w:tc>
          <w:tcPr>
            <w:tcW w:w="920" w:type="dxa"/>
            <w:vAlign w:val="bottom"/>
            <w:gridSpan w:val="2"/>
          </w:tcPr>
          <w:p>
            <w:pPr>
              <w:jc w:val="right"/>
              <w:ind w:right="60"/>
              <w:spacing w:after="0"/>
              <w:rPr>
                <w:sz w:val="20"/>
                <w:szCs w:val="20"/>
                <w:color w:val="auto"/>
              </w:rPr>
            </w:pPr>
            <w:r>
              <w:rPr>
                <w:rFonts w:ascii="Arial" w:cs="Arial" w:eastAsia="Arial" w:hAnsi="Arial"/>
                <w:sz w:val="13"/>
                <w:szCs w:val="13"/>
                <w:color w:val="auto"/>
              </w:rPr>
              <w:t>(123,620)</w:t>
            </w:r>
          </w:p>
        </w:tc>
        <w:tc>
          <w:tcPr>
            <w:tcW w:w="180" w:type="dxa"/>
            <w:vAlign w:val="bottom"/>
          </w:tcPr>
          <w:p>
            <w:pPr>
              <w:spacing w:after="0"/>
              <w:rPr>
                <w:sz w:val="12"/>
                <w:szCs w:val="12"/>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(19,146)</w:t>
            </w:r>
          </w:p>
        </w:tc>
        <w:tc>
          <w:tcPr>
            <w:tcW w:w="1280" w:type="dxa"/>
            <w:vAlign w:val="bottom"/>
            <w:gridSpan w:val="2"/>
          </w:tcPr>
          <w:p>
            <w:pPr>
              <w:jc w:val="right"/>
              <w:ind w:right="80"/>
              <w:spacing w:after="0"/>
              <w:rPr>
                <w:sz w:val="20"/>
                <w:szCs w:val="20"/>
                <w:color w:val="auto"/>
              </w:rPr>
            </w:pPr>
            <w:r>
              <w:rPr>
                <w:rFonts w:ascii="Arial" w:cs="Arial" w:eastAsia="Arial" w:hAnsi="Arial"/>
                <w:sz w:val="13"/>
                <w:szCs w:val="13"/>
                <w:color w:val="auto"/>
              </w:rPr>
              <w:t>(306,444)</w:t>
            </w:r>
          </w:p>
        </w:tc>
        <w:tc>
          <w:tcPr>
            <w:tcW w:w="1260" w:type="dxa"/>
            <w:vAlign w:val="bottom"/>
            <w:gridSpan w:val="2"/>
          </w:tcPr>
          <w:p>
            <w:pPr>
              <w:jc w:val="right"/>
              <w:ind w:right="60"/>
              <w:spacing w:after="0"/>
              <w:rPr>
                <w:sz w:val="20"/>
                <w:szCs w:val="20"/>
                <w:color w:val="auto"/>
              </w:rPr>
            </w:pPr>
            <w:r>
              <w:rPr>
                <w:rFonts w:ascii="Arial" w:cs="Arial" w:eastAsia="Arial" w:hAnsi="Arial"/>
                <w:sz w:val="13"/>
                <w:szCs w:val="13"/>
                <w:color w:val="auto"/>
              </w:rPr>
              <w:t>(253,380)</w:t>
            </w:r>
          </w:p>
        </w:tc>
        <w:tc>
          <w:tcPr>
            <w:tcW w:w="400" w:type="dxa"/>
            <w:vAlign w:val="bottom"/>
          </w:tcPr>
          <w:p>
            <w:pPr>
              <w:spacing w:after="0"/>
              <w:rPr>
                <w:sz w:val="12"/>
                <w:szCs w:val="12"/>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3"/>
                <w:szCs w:val="13"/>
                <w:color w:val="auto"/>
              </w:rPr>
              <w:t>(39,244)</w:t>
            </w:r>
          </w:p>
        </w:tc>
      </w:tr>
      <w:tr>
        <w:trPr>
          <w:trHeight w:val="148"/>
        </w:trPr>
        <w:tc>
          <w:tcPr>
            <w:tcW w:w="42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Processing and servicing cost</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(356,439)</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(469,917)</w:t>
            </w:r>
          </w:p>
        </w:tc>
        <w:tc>
          <w:tcPr>
            <w:tcW w:w="1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(72,781)</w:t>
            </w: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(669,409)</w:t>
            </w: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(866,633)</w:t>
            </w:r>
          </w:p>
        </w:tc>
        <w:tc>
          <w:tcPr>
            <w:tcW w:w="4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(134,224)</w:t>
            </w:r>
          </w:p>
        </w:tc>
      </w:tr>
      <w:tr>
        <w:trPr>
          <w:trHeight w:val="149"/>
        </w:trPr>
        <w:tc>
          <w:tcPr>
            <w:tcW w:w="4200" w:type="dxa"/>
            <w:vAlign w:val="bottom"/>
          </w:tcPr>
          <w:p>
            <w:pPr>
              <w:ind w:left="260"/>
              <w:spacing w:after="0"/>
              <w:rPr>
                <w:sz w:val="20"/>
                <w:szCs w:val="20"/>
                <w:color w:val="auto"/>
              </w:rPr>
            </w:pPr>
            <w:r>
              <w:rPr>
                <w:rFonts w:ascii="Arial" w:cs="Arial" w:eastAsia="Arial" w:hAnsi="Arial"/>
                <w:sz w:val="13"/>
                <w:szCs w:val="13"/>
                <w:color w:val="auto"/>
              </w:rPr>
              <w:t>Provision for credit losses of financing receivables</w:t>
            </w:r>
          </w:p>
        </w:tc>
        <w:tc>
          <w:tcPr>
            <w:tcW w:w="1080" w:type="dxa"/>
            <w:vAlign w:val="bottom"/>
            <w:gridSpan w:val="2"/>
          </w:tcPr>
          <w:p>
            <w:pPr>
              <w:jc w:val="right"/>
              <w:ind w:right="80"/>
              <w:spacing w:after="0"/>
              <w:rPr>
                <w:sz w:val="20"/>
                <w:szCs w:val="20"/>
                <w:color w:val="auto"/>
              </w:rPr>
            </w:pPr>
            <w:r>
              <w:rPr>
                <w:rFonts w:ascii="Arial" w:cs="Arial" w:eastAsia="Arial" w:hAnsi="Arial"/>
                <w:sz w:val="13"/>
                <w:szCs w:val="13"/>
                <w:color w:val="auto"/>
              </w:rPr>
              <w:t>(120,913)</w:t>
            </w:r>
          </w:p>
        </w:tc>
        <w:tc>
          <w:tcPr>
            <w:tcW w:w="920" w:type="dxa"/>
            <w:vAlign w:val="bottom"/>
            <w:gridSpan w:val="2"/>
          </w:tcPr>
          <w:p>
            <w:pPr>
              <w:jc w:val="right"/>
              <w:ind w:right="60"/>
              <w:spacing w:after="0"/>
              <w:rPr>
                <w:sz w:val="20"/>
                <w:szCs w:val="20"/>
                <w:color w:val="auto"/>
              </w:rPr>
            </w:pPr>
            <w:r>
              <w:rPr>
                <w:rFonts w:ascii="Arial" w:cs="Arial" w:eastAsia="Arial" w:hAnsi="Arial"/>
                <w:sz w:val="13"/>
                <w:szCs w:val="13"/>
                <w:color w:val="auto"/>
              </w:rPr>
              <w:t>(111,635)</w:t>
            </w:r>
          </w:p>
        </w:tc>
        <w:tc>
          <w:tcPr>
            <w:tcW w:w="180" w:type="dxa"/>
            <w:vAlign w:val="bottom"/>
          </w:tcPr>
          <w:p>
            <w:pPr>
              <w:spacing w:after="0"/>
              <w:rPr>
                <w:sz w:val="12"/>
                <w:szCs w:val="12"/>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(17,290)</w:t>
            </w:r>
          </w:p>
        </w:tc>
        <w:tc>
          <w:tcPr>
            <w:tcW w:w="1280" w:type="dxa"/>
            <w:vAlign w:val="bottom"/>
            <w:gridSpan w:val="2"/>
          </w:tcPr>
          <w:p>
            <w:pPr>
              <w:jc w:val="right"/>
              <w:ind w:right="80"/>
              <w:spacing w:after="0"/>
              <w:rPr>
                <w:sz w:val="20"/>
                <w:szCs w:val="20"/>
                <w:color w:val="auto"/>
              </w:rPr>
            </w:pPr>
            <w:r>
              <w:rPr>
                <w:rFonts w:ascii="Arial" w:cs="Arial" w:eastAsia="Arial" w:hAnsi="Arial"/>
                <w:sz w:val="13"/>
                <w:szCs w:val="13"/>
                <w:color w:val="auto"/>
              </w:rPr>
              <w:t>(411,162)</w:t>
            </w:r>
          </w:p>
        </w:tc>
        <w:tc>
          <w:tcPr>
            <w:tcW w:w="1260" w:type="dxa"/>
            <w:vAlign w:val="bottom"/>
            <w:gridSpan w:val="2"/>
          </w:tcPr>
          <w:p>
            <w:pPr>
              <w:jc w:val="right"/>
              <w:ind w:right="60"/>
              <w:spacing w:after="0"/>
              <w:rPr>
                <w:sz w:val="20"/>
                <w:szCs w:val="20"/>
                <w:color w:val="auto"/>
              </w:rPr>
            </w:pPr>
            <w:r>
              <w:rPr>
                <w:rFonts w:ascii="Arial" w:cs="Arial" w:eastAsia="Arial" w:hAnsi="Arial"/>
                <w:sz w:val="13"/>
                <w:szCs w:val="13"/>
                <w:color w:val="auto"/>
              </w:rPr>
              <w:t>(283,633)</w:t>
            </w:r>
          </w:p>
        </w:tc>
        <w:tc>
          <w:tcPr>
            <w:tcW w:w="400" w:type="dxa"/>
            <w:vAlign w:val="bottom"/>
          </w:tcPr>
          <w:p>
            <w:pPr>
              <w:spacing w:after="0"/>
              <w:rPr>
                <w:sz w:val="12"/>
                <w:szCs w:val="12"/>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3"/>
                <w:szCs w:val="13"/>
                <w:color w:val="auto"/>
              </w:rPr>
              <w:t>(43,929)</w:t>
            </w:r>
          </w:p>
        </w:tc>
      </w:tr>
      <w:tr>
        <w:trPr>
          <w:trHeight w:val="148"/>
        </w:trPr>
        <w:tc>
          <w:tcPr>
            <w:tcW w:w="42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Provision for credit losses of contract assets and receivables</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(60,786)</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(139,698)</w:t>
            </w:r>
          </w:p>
        </w:tc>
        <w:tc>
          <w:tcPr>
            <w:tcW w:w="1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(21,636)</w:t>
            </w: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(150,126)</w:t>
            </w: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(358,635)</w:t>
            </w:r>
          </w:p>
        </w:tc>
        <w:tc>
          <w:tcPr>
            <w:tcW w:w="4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(55,545)</w:t>
            </w:r>
          </w:p>
        </w:tc>
      </w:tr>
      <w:tr>
        <w:trPr>
          <w:trHeight w:val="148"/>
        </w:trPr>
        <w:tc>
          <w:tcPr>
            <w:tcW w:w="4200" w:type="dxa"/>
            <w:vAlign w:val="bottom"/>
          </w:tcPr>
          <w:p>
            <w:pPr>
              <w:ind w:left="260"/>
              <w:spacing w:after="0"/>
              <w:rPr>
                <w:sz w:val="20"/>
                <w:szCs w:val="20"/>
                <w:color w:val="auto"/>
              </w:rPr>
            </w:pPr>
            <w:r>
              <w:rPr>
                <w:rFonts w:ascii="Arial" w:cs="Arial" w:eastAsia="Arial" w:hAnsi="Arial"/>
                <w:sz w:val="13"/>
                <w:szCs w:val="13"/>
                <w:color w:val="auto"/>
              </w:rPr>
              <w:t>Provision for credit losses of contingent liabilities of guarantee</w:t>
            </w:r>
          </w:p>
        </w:tc>
        <w:tc>
          <w:tcPr>
            <w:tcW w:w="1080" w:type="dxa"/>
            <w:vAlign w:val="bottom"/>
            <w:gridSpan w:val="2"/>
          </w:tcPr>
          <w:p>
            <w:pPr>
              <w:jc w:val="right"/>
              <w:ind w:right="80"/>
              <w:spacing w:after="0"/>
              <w:rPr>
                <w:sz w:val="20"/>
                <w:szCs w:val="20"/>
                <w:color w:val="auto"/>
              </w:rPr>
            </w:pPr>
            <w:r>
              <w:rPr>
                <w:rFonts w:ascii="Arial" w:cs="Arial" w:eastAsia="Arial" w:hAnsi="Arial"/>
                <w:sz w:val="13"/>
                <w:szCs w:val="13"/>
                <w:color w:val="auto"/>
              </w:rPr>
              <w:t>(768,922)</w:t>
            </w:r>
          </w:p>
        </w:tc>
        <w:tc>
          <w:tcPr>
            <w:tcW w:w="920" w:type="dxa"/>
            <w:vAlign w:val="bottom"/>
            <w:gridSpan w:val="2"/>
          </w:tcPr>
          <w:p>
            <w:pPr>
              <w:jc w:val="right"/>
              <w:ind w:right="60"/>
              <w:spacing w:after="0"/>
              <w:rPr>
                <w:sz w:val="20"/>
                <w:szCs w:val="20"/>
                <w:color w:val="auto"/>
              </w:rPr>
            </w:pPr>
            <w:r>
              <w:rPr>
                <w:rFonts w:ascii="Arial" w:cs="Arial" w:eastAsia="Arial" w:hAnsi="Arial"/>
                <w:sz w:val="13"/>
                <w:szCs w:val="13"/>
                <w:color w:val="auto"/>
              </w:rPr>
              <w:t>(335,499)</w:t>
            </w:r>
          </w:p>
        </w:tc>
        <w:tc>
          <w:tcPr>
            <w:tcW w:w="180" w:type="dxa"/>
            <w:vAlign w:val="bottom"/>
          </w:tcPr>
          <w:p>
            <w:pPr>
              <w:spacing w:after="0"/>
              <w:rPr>
                <w:sz w:val="12"/>
                <w:szCs w:val="12"/>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(51,962)</w:t>
            </w:r>
          </w:p>
        </w:tc>
        <w:tc>
          <w:tcPr>
            <w:tcW w:w="1280" w:type="dxa"/>
            <w:vAlign w:val="bottom"/>
            <w:gridSpan w:val="2"/>
          </w:tcPr>
          <w:p>
            <w:pPr>
              <w:jc w:val="right"/>
              <w:ind w:right="80"/>
              <w:spacing w:after="0"/>
              <w:rPr>
                <w:sz w:val="20"/>
                <w:szCs w:val="20"/>
                <w:color w:val="auto"/>
              </w:rPr>
            </w:pPr>
            <w:r>
              <w:rPr>
                <w:rFonts w:ascii="Arial" w:cs="Arial" w:eastAsia="Arial" w:hAnsi="Arial"/>
                <w:sz w:val="13"/>
                <w:szCs w:val="13"/>
                <w:color w:val="auto"/>
              </w:rPr>
              <w:t>(1,786,165)</w:t>
            </w:r>
          </w:p>
        </w:tc>
        <w:tc>
          <w:tcPr>
            <w:tcW w:w="1260" w:type="dxa"/>
            <w:vAlign w:val="bottom"/>
            <w:gridSpan w:val="2"/>
          </w:tcPr>
          <w:p>
            <w:pPr>
              <w:jc w:val="right"/>
              <w:ind w:right="60"/>
              <w:spacing w:after="0"/>
              <w:rPr>
                <w:sz w:val="20"/>
                <w:szCs w:val="20"/>
                <w:color w:val="auto"/>
              </w:rPr>
            </w:pPr>
            <w:r>
              <w:rPr>
                <w:rFonts w:ascii="Arial" w:cs="Arial" w:eastAsia="Arial" w:hAnsi="Arial"/>
                <w:sz w:val="13"/>
                <w:szCs w:val="13"/>
                <w:color w:val="auto"/>
              </w:rPr>
              <w:t>(559,284)</w:t>
            </w:r>
          </w:p>
        </w:tc>
        <w:tc>
          <w:tcPr>
            <w:tcW w:w="400" w:type="dxa"/>
            <w:vAlign w:val="bottom"/>
          </w:tcPr>
          <w:p>
            <w:pPr>
              <w:spacing w:after="0"/>
              <w:rPr>
                <w:sz w:val="12"/>
                <w:szCs w:val="12"/>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3"/>
                <w:szCs w:val="13"/>
                <w:color w:val="auto"/>
              </w:rPr>
              <w:t>(86,622)</w:t>
            </w:r>
          </w:p>
        </w:tc>
      </w:tr>
      <w:tr>
        <w:trPr>
          <w:trHeight w:val="142"/>
        </w:trPr>
        <w:tc>
          <w:tcPr>
            <w:tcW w:w="420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Total operating cost</w:t>
            </w:r>
          </w:p>
        </w:tc>
        <w:tc>
          <w:tcPr>
            <w:tcW w:w="9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(1,990,136)</w:t>
            </w:r>
          </w:p>
        </w:tc>
        <w:tc>
          <w:tcPr>
            <w:tcW w:w="12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(1,607,360)</w:t>
            </w:r>
          </w:p>
        </w:tc>
        <w:tc>
          <w:tcPr>
            <w:tcW w:w="10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bottom w:val="single" w:sz="8" w:color="auto"/>
            </w:tcBorders>
            <w:shd w:val="clear" w:color="auto" w:fill="CFF0FC"/>
          </w:tcPr>
          <w:p>
            <w:pPr>
              <w:spacing w:after="0"/>
              <w:rPr>
                <w:sz w:val="12"/>
                <w:szCs w:val="12"/>
                <w:color w:val="auto"/>
              </w:rPr>
            </w:pPr>
          </w:p>
        </w:tc>
        <w:tc>
          <w:tcPr>
            <w:tcW w:w="7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(248,947)</w:t>
            </w:r>
          </w:p>
        </w:tc>
        <w:tc>
          <w:tcPr>
            <w:tcW w:w="300" w:type="dxa"/>
            <w:vAlign w:val="bottom"/>
            <w:tcBorders>
              <w:top w:val="single" w:sz="8" w:color="CFF0FC"/>
            </w:tcBorders>
            <w:shd w:val="clear" w:color="auto" w:fill="CFF0FC"/>
          </w:tcPr>
          <w:p>
            <w:pPr>
              <w:spacing w:after="0"/>
              <w:rPr>
                <w:sz w:val="12"/>
                <w:szCs w:val="12"/>
                <w:color w:val="auto"/>
              </w:rPr>
            </w:pPr>
          </w:p>
        </w:tc>
        <w:tc>
          <w:tcPr>
            <w:tcW w:w="11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(4,323,186)</w:t>
            </w:r>
          </w:p>
        </w:tc>
        <w:tc>
          <w:tcPr>
            <w:tcW w:w="120" w:type="dxa"/>
            <w:vAlign w:val="bottom"/>
            <w:tcBorders>
              <w:top w:val="single" w:sz="8" w:color="CFF0FC"/>
            </w:tcBorders>
            <w:shd w:val="clear" w:color="auto" w:fill="CFF0FC"/>
          </w:tcPr>
          <w:p>
            <w:pPr>
              <w:spacing w:after="0"/>
              <w:rPr>
                <w:sz w:val="12"/>
                <w:szCs w:val="12"/>
                <w:color w:val="auto"/>
              </w:rPr>
            </w:pPr>
          </w:p>
        </w:tc>
        <w:tc>
          <w:tcPr>
            <w:tcW w:w="11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(3,182,025)</w:t>
            </w:r>
          </w:p>
        </w:tc>
        <w:tc>
          <w:tcPr>
            <w:tcW w:w="100" w:type="dxa"/>
            <w:vAlign w:val="bottom"/>
            <w:tcBorders>
              <w:top w:val="single" w:sz="8" w:color="CFF0FC"/>
            </w:tcBorders>
            <w:shd w:val="clear" w:color="auto" w:fill="CFF0FC"/>
          </w:tcPr>
          <w:p>
            <w:pPr>
              <w:spacing w:after="0"/>
              <w:rPr>
                <w:sz w:val="12"/>
                <w:szCs w:val="12"/>
                <w:color w:val="auto"/>
              </w:rPr>
            </w:pPr>
          </w:p>
        </w:tc>
        <w:tc>
          <w:tcPr>
            <w:tcW w:w="400" w:type="dxa"/>
            <w:vAlign w:val="bottom"/>
            <w:tcBorders>
              <w:top w:val="single" w:sz="8" w:color="auto"/>
              <w:bottom w:val="single" w:sz="8" w:color="auto"/>
            </w:tcBorders>
            <w:shd w:val="clear" w:color="auto" w:fill="CFF0FC"/>
          </w:tcPr>
          <w:p>
            <w:pPr>
              <w:spacing w:after="0"/>
              <w:rPr>
                <w:sz w:val="12"/>
                <w:szCs w:val="12"/>
                <w:color w:val="auto"/>
              </w:rPr>
            </w:pPr>
          </w:p>
        </w:tc>
        <w:tc>
          <w:tcPr>
            <w:tcW w:w="7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(492,832)</w:t>
            </w:r>
          </w:p>
        </w:tc>
        <w:tc>
          <w:tcPr>
            <w:tcW w:w="120" w:type="dxa"/>
            <w:vAlign w:val="bottom"/>
            <w:tcBorders>
              <w:top w:val="single" w:sz="8" w:color="CFF0FC"/>
            </w:tcBorders>
            <w:shd w:val="clear" w:color="auto" w:fill="CFF0FC"/>
          </w:tcPr>
          <w:p>
            <w:pPr>
              <w:spacing w:after="0"/>
              <w:rPr>
                <w:sz w:val="12"/>
                <w:szCs w:val="12"/>
                <w:color w:val="auto"/>
              </w:rPr>
            </w:pPr>
          </w:p>
        </w:tc>
      </w:tr>
      <w:tr>
        <w:trPr>
          <w:trHeight w:val="142"/>
        </w:trPr>
        <w:tc>
          <w:tcPr>
            <w:tcW w:w="4200" w:type="dxa"/>
            <w:vAlign w:val="bottom"/>
            <w:tcBorders>
              <w:bottom w:val="single" w:sz="8" w:color="CFF0FC"/>
            </w:tcBorders>
          </w:tcPr>
          <w:p>
            <w:pPr>
              <w:spacing w:after="0" w:line="142" w:lineRule="exact"/>
              <w:rPr>
                <w:sz w:val="20"/>
                <w:szCs w:val="20"/>
                <w:color w:val="auto"/>
              </w:rPr>
            </w:pPr>
            <w:r>
              <w:rPr>
                <w:rFonts w:ascii="Arial" w:cs="Arial" w:eastAsia="Arial" w:hAnsi="Arial"/>
                <w:sz w:val="13"/>
                <w:szCs w:val="13"/>
                <w:b w:val="1"/>
                <w:bCs w:val="1"/>
                <w:color w:val="auto"/>
              </w:rPr>
              <w:t>Gross profit</w:t>
            </w:r>
          </w:p>
        </w:tc>
        <w:tc>
          <w:tcPr>
            <w:tcW w:w="9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967,870</w:t>
            </w:r>
          </w:p>
        </w:tc>
        <w:tc>
          <w:tcPr>
            <w:tcW w:w="12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1,661,476</w:t>
            </w:r>
          </w:p>
        </w:tc>
        <w:tc>
          <w:tcPr>
            <w:tcW w:w="10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257,330</w:t>
            </w:r>
          </w:p>
        </w:tc>
        <w:tc>
          <w:tcPr>
            <w:tcW w:w="300" w:type="dxa"/>
            <w:vAlign w:val="bottom"/>
            <w:tcBorders>
              <w:bottom w:val="single" w:sz="8" w:color="CFF0FC"/>
            </w:tcBorders>
          </w:tcPr>
          <w:p>
            <w:pPr>
              <w:spacing w:after="0"/>
              <w:rPr>
                <w:sz w:val="12"/>
                <w:szCs w:val="12"/>
                <w:color w:val="auto"/>
              </w:rPr>
            </w:pPr>
          </w:p>
        </w:tc>
        <w:tc>
          <w:tcPr>
            <w:tcW w:w="1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1,134,854</w:t>
            </w:r>
          </w:p>
        </w:tc>
        <w:tc>
          <w:tcPr>
            <w:tcW w:w="120" w:type="dxa"/>
            <w:vAlign w:val="bottom"/>
            <w:tcBorders>
              <w:bottom w:val="single" w:sz="8" w:color="CFF0FC"/>
            </w:tcBorders>
          </w:tcPr>
          <w:p>
            <w:pPr>
              <w:spacing w:after="0"/>
              <w:rPr>
                <w:sz w:val="12"/>
                <w:szCs w:val="12"/>
                <w:color w:val="auto"/>
              </w:rPr>
            </w:pPr>
          </w:p>
        </w:tc>
        <w:tc>
          <w:tcPr>
            <w:tcW w:w="1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3,030,494</w:t>
            </w:r>
          </w:p>
        </w:tc>
        <w:tc>
          <w:tcPr>
            <w:tcW w:w="100" w:type="dxa"/>
            <w:vAlign w:val="bottom"/>
            <w:tcBorders>
              <w:bottom w:val="single" w:sz="8" w:color="CFF0FC"/>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469,365</w:t>
            </w:r>
          </w:p>
        </w:tc>
        <w:tc>
          <w:tcPr>
            <w:tcW w:w="120" w:type="dxa"/>
            <w:vAlign w:val="bottom"/>
            <w:tcBorders>
              <w:bottom w:val="single" w:sz="8" w:color="CFF0FC"/>
            </w:tcBorders>
          </w:tcPr>
          <w:p>
            <w:pPr>
              <w:spacing w:after="0"/>
              <w:rPr>
                <w:sz w:val="12"/>
                <w:szCs w:val="12"/>
                <w:color w:val="auto"/>
              </w:rPr>
            </w:pPr>
          </w:p>
        </w:tc>
      </w:tr>
      <w:tr>
        <w:trPr>
          <w:trHeight w:val="142"/>
        </w:trPr>
        <w:tc>
          <w:tcPr>
            <w:tcW w:w="4200" w:type="dxa"/>
            <w:vAlign w:val="bottom"/>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Operating expenses:</w:t>
            </w: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4200" w:type="dxa"/>
            <w:vAlign w:val="bottom"/>
          </w:tcPr>
          <w:p>
            <w:pPr>
              <w:ind w:left="260"/>
              <w:spacing w:after="0"/>
              <w:rPr>
                <w:sz w:val="20"/>
                <w:szCs w:val="20"/>
                <w:color w:val="auto"/>
              </w:rPr>
            </w:pPr>
            <w:r>
              <w:rPr>
                <w:rFonts w:ascii="Arial" w:cs="Arial" w:eastAsia="Arial" w:hAnsi="Arial"/>
                <w:sz w:val="13"/>
                <w:szCs w:val="13"/>
                <w:color w:val="auto"/>
              </w:rPr>
              <w:t>Sales and marketing expenses</w:t>
            </w:r>
          </w:p>
        </w:tc>
        <w:tc>
          <w:tcPr>
            <w:tcW w:w="1080" w:type="dxa"/>
            <w:vAlign w:val="bottom"/>
            <w:gridSpan w:val="2"/>
          </w:tcPr>
          <w:p>
            <w:pPr>
              <w:jc w:val="right"/>
              <w:ind w:right="80"/>
              <w:spacing w:after="0"/>
              <w:rPr>
                <w:sz w:val="20"/>
                <w:szCs w:val="20"/>
                <w:color w:val="auto"/>
              </w:rPr>
            </w:pPr>
            <w:r>
              <w:rPr>
                <w:rFonts w:ascii="Arial" w:cs="Arial" w:eastAsia="Arial" w:hAnsi="Arial"/>
                <w:sz w:val="13"/>
                <w:szCs w:val="13"/>
                <w:color w:val="auto"/>
              </w:rPr>
              <w:t>(327,430)</w:t>
            </w:r>
          </w:p>
        </w:tc>
        <w:tc>
          <w:tcPr>
            <w:tcW w:w="920" w:type="dxa"/>
            <w:vAlign w:val="bottom"/>
            <w:gridSpan w:val="2"/>
          </w:tcPr>
          <w:p>
            <w:pPr>
              <w:jc w:val="right"/>
              <w:ind w:right="60"/>
              <w:spacing w:after="0"/>
              <w:rPr>
                <w:sz w:val="20"/>
                <w:szCs w:val="20"/>
                <w:color w:val="auto"/>
              </w:rPr>
            </w:pPr>
            <w:r>
              <w:rPr>
                <w:rFonts w:ascii="Arial" w:cs="Arial" w:eastAsia="Arial" w:hAnsi="Arial"/>
                <w:sz w:val="13"/>
                <w:szCs w:val="13"/>
                <w:color w:val="auto"/>
              </w:rPr>
              <w:t>(494,814)</w:t>
            </w:r>
          </w:p>
        </w:tc>
        <w:tc>
          <w:tcPr>
            <w:tcW w:w="180" w:type="dxa"/>
            <w:vAlign w:val="bottom"/>
          </w:tcPr>
          <w:p>
            <w:pPr>
              <w:spacing w:after="0"/>
              <w:rPr>
                <w:sz w:val="12"/>
                <w:szCs w:val="12"/>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(76,637)</w:t>
            </w:r>
          </w:p>
        </w:tc>
        <w:tc>
          <w:tcPr>
            <w:tcW w:w="1280" w:type="dxa"/>
            <w:vAlign w:val="bottom"/>
            <w:gridSpan w:val="2"/>
          </w:tcPr>
          <w:p>
            <w:pPr>
              <w:jc w:val="right"/>
              <w:ind w:right="80"/>
              <w:spacing w:after="0"/>
              <w:rPr>
                <w:sz w:val="20"/>
                <w:szCs w:val="20"/>
                <w:color w:val="auto"/>
              </w:rPr>
            </w:pPr>
            <w:r>
              <w:rPr>
                <w:rFonts w:ascii="Arial" w:cs="Arial" w:eastAsia="Arial" w:hAnsi="Arial"/>
                <w:sz w:val="13"/>
                <w:szCs w:val="13"/>
                <w:color w:val="auto"/>
              </w:rPr>
              <w:t>(571,302)</w:t>
            </w:r>
          </w:p>
        </w:tc>
        <w:tc>
          <w:tcPr>
            <w:tcW w:w="1260" w:type="dxa"/>
            <w:vAlign w:val="bottom"/>
            <w:gridSpan w:val="2"/>
          </w:tcPr>
          <w:p>
            <w:pPr>
              <w:jc w:val="right"/>
              <w:ind w:right="60"/>
              <w:spacing w:after="0"/>
              <w:rPr>
                <w:sz w:val="20"/>
                <w:szCs w:val="20"/>
                <w:color w:val="auto"/>
              </w:rPr>
            </w:pPr>
            <w:r>
              <w:rPr>
                <w:rFonts w:ascii="Arial" w:cs="Arial" w:eastAsia="Arial" w:hAnsi="Arial"/>
                <w:sz w:val="13"/>
                <w:szCs w:val="13"/>
                <w:color w:val="auto"/>
              </w:rPr>
              <w:t>(840,318)</w:t>
            </w:r>
          </w:p>
        </w:tc>
        <w:tc>
          <w:tcPr>
            <w:tcW w:w="400" w:type="dxa"/>
            <w:vAlign w:val="bottom"/>
          </w:tcPr>
          <w:p>
            <w:pPr>
              <w:spacing w:after="0"/>
              <w:rPr>
                <w:sz w:val="12"/>
                <w:szCs w:val="12"/>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3"/>
                <w:szCs w:val="13"/>
                <w:color w:val="auto"/>
              </w:rPr>
              <w:t>(130,149)</w:t>
            </w:r>
          </w:p>
        </w:tc>
      </w:tr>
      <w:tr>
        <w:trPr>
          <w:trHeight w:val="149"/>
        </w:trPr>
        <w:tc>
          <w:tcPr>
            <w:tcW w:w="42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Research and development expenses</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(134,605)</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(130,447)</w:t>
            </w:r>
          </w:p>
        </w:tc>
        <w:tc>
          <w:tcPr>
            <w:tcW w:w="1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(20,204)</w:t>
            </w: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(260,816)</w:t>
            </w: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(254,654)</w:t>
            </w:r>
          </w:p>
        </w:tc>
        <w:tc>
          <w:tcPr>
            <w:tcW w:w="4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(39,441)</w:t>
            </w:r>
          </w:p>
        </w:tc>
      </w:tr>
      <w:tr>
        <w:trPr>
          <w:trHeight w:val="148"/>
        </w:trPr>
        <w:tc>
          <w:tcPr>
            <w:tcW w:w="4200" w:type="dxa"/>
            <w:vAlign w:val="bottom"/>
          </w:tcPr>
          <w:p>
            <w:pPr>
              <w:ind w:left="260"/>
              <w:spacing w:after="0"/>
              <w:rPr>
                <w:sz w:val="20"/>
                <w:szCs w:val="20"/>
                <w:color w:val="auto"/>
              </w:rPr>
            </w:pPr>
            <w:r>
              <w:rPr>
                <w:rFonts w:ascii="Arial" w:cs="Arial" w:eastAsia="Arial" w:hAnsi="Arial"/>
                <w:sz w:val="13"/>
                <w:szCs w:val="13"/>
                <w:color w:val="auto"/>
              </w:rPr>
              <w:t>General and administrative expenses</w:t>
            </w:r>
          </w:p>
        </w:tc>
        <w:tc>
          <w:tcPr>
            <w:tcW w:w="1080" w:type="dxa"/>
            <w:vAlign w:val="bottom"/>
            <w:gridSpan w:val="2"/>
          </w:tcPr>
          <w:p>
            <w:pPr>
              <w:jc w:val="right"/>
              <w:ind w:right="80"/>
              <w:spacing w:after="0"/>
              <w:rPr>
                <w:sz w:val="20"/>
                <w:szCs w:val="20"/>
                <w:color w:val="auto"/>
              </w:rPr>
            </w:pPr>
            <w:r>
              <w:rPr>
                <w:rFonts w:ascii="Arial" w:cs="Arial" w:eastAsia="Arial" w:hAnsi="Arial"/>
                <w:sz w:val="13"/>
                <w:szCs w:val="13"/>
                <w:color w:val="auto"/>
              </w:rPr>
              <w:t>(113,793)</w:t>
            </w:r>
          </w:p>
        </w:tc>
        <w:tc>
          <w:tcPr>
            <w:tcW w:w="920" w:type="dxa"/>
            <w:vAlign w:val="bottom"/>
            <w:gridSpan w:val="2"/>
          </w:tcPr>
          <w:p>
            <w:pPr>
              <w:jc w:val="right"/>
              <w:ind w:right="60"/>
              <w:spacing w:after="0"/>
              <w:rPr>
                <w:sz w:val="20"/>
                <w:szCs w:val="20"/>
                <w:color w:val="auto"/>
              </w:rPr>
            </w:pPr>
            <w:r>
              <w:rPr>
                <w:rFonts w:ascii="Arial" w:cs="Arial" w:eastAsia="Arial" w:hAnsi="Arial"/>
                <w:sz w:val="13"/>
                <w:szCs w:val="13"/>
                <w:color w:val="auto"/>
              </w:rPr>
              <w:t>(120,849)</w:t>
            </w:r>
          </w:p>
        </w:tc>
        <w:tc>
          <w:tcPr>
            <w:tcW w:w="180" w:type="dxa"/>
            <w:vAlign w:val="bottom"/>
          </w:tcPr>
          <w:p>
            <w:pPr>
              <w:spacing w:after="0"/>
              <w:rPr>
                <w:sz w:val="12"/>
                <w:szCs w:val="12"/>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(18,717)</w:t>
            </w:r>
          </w:p>
        </w:tc>
        <w:tc>
          <w:tcPr>
            <w:tcW w:w="1280" w:type="dxa"/>
            <w:vAlign w:val="bottom"/>
            <w:gridSpan w:val="2"/>
          </w:tcPr>
          <w:p>
            <w:pPr>
              <w:jc w:val="right"/>
              <w:ind w:right="80"/>
              <w:spacing w:after="0"/>
              <w:rPr>
                <w:sz w:val="20"/>
                <w:szCs w:val="20"/>
                <w:color w:val="auto"/>
              </w:rPr>
            </w:pPr>
            <w:r>
              <w:rPr>
                <w:rFonts w:ascii="Arial" w:cs="Arial" w:eastAsia="Arial" w:hAnsi="Arial"/>
                <w:sz w:val="13"/>
                <w:szCs w:val="13"/>
                <w:color w:val="auto"/>
              </w:rPr>
              <w:t>(223,319)</w:t>
            </w:r>
          </w:p>
        </w:tc>
        <w:tc>
          <w:tcPr>
            <w:tcW w:w="1260" w:type="dxa"/>
            <w:vAlign w:val="bottom"/>
            <w:gridSpan w:val="2"/>
          </w:tcPr>
          <w:p>
            <w:pPr>
              <w:jc w:val="right"/>
              <w:ind w:right="60"/>
              <w:spacing w:after="0"/>
              <w:rPr>
                <w:sz w:val="20"/>
                <w:szCs w:val="20"/>
                <w:color w:val="auto"/>
              </w:rPr>
            </w:pPr>
            <w:r>
              <w:rPr>
                <w:rFonts w:ascii="Arial" w:cs="Arial" w:eastAsia="Arial" w:hAnsi="Arial"/>
                <w:sz w:val="13"/>
                <w:szCs w:val="13"/>
                <w:color w:val="auto"/>
              </w:rPr>
              <w:t>(251,950)</w:t>
            </w:r>
          </w:p>
        </w:tc>
        <w:tc>
          <w:tcPr>
            <w:tcW w:w="400" w:type="dxa"/>
            <w:vAlign w:val="bottom"/>
          </w:tcPr>
          <w:p>
            <w:pPr>
              <w:spacing w:after="0"/>
              <w:rPr>
                <w:sz w:val="12"/>
                <w:szCs w:val="12"/>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3"/>
                <w:szCs w:val="13"/>
                <w:color w:val="auto"/>
              </w:rPr>
              <w:t>(39,022)</w:t>
            </w:r>
          </w:p>
        </w:tc>
      </w:tr>
      <w:tr>
        <w:trPr>
          <w:trHeight w:val="142"/>
        </w:trPr>
        <w:tc>
          <w:tcPr>
            <w:tcW w:w="420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Total operating expenses</w:t>
            </w:r>
          </w:p>
        </w:tc>
        <w:tc>
          <w:tcPr>
            <w:tcW w:w="9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(575,828)</w:t>
            </w:r>
          </w:p>
        </w:tc>
        <w:tc>
          <w:tcPr>
            <w:tcW w:w="12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(746,110)</w:t>
            </w:r>
          </w:p>
        </w:tc>
        <w:tc>
          <w:tcPr>
            <w:tcW w:w="10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bottom w:val="single" w:sz="8" w:color="auto"/>
            </w:tcBorders>
            <w:shd w:val="clear" w:color="auto" w:fill="CFF0FC"/>
          </w:tcPr>
          <w:p>
            <w:pPr>
              <w:spacing w:after="0"/>
              <w:rPr>
                <w:sz w:val="12"/>
                <w:szCs w:val="12"/>
                <w:color w:val="auto"/>
              </w:rPr>
            </w:pPr>
          </w:p>
        </w:tc>
        <w:tc>
          <w:tcPr>
            <w:tcW w:w="7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(115,558)</w:t>
            </w:r>
          </w:p>
        </w:tc>
        <w:tc>
          <w:tcPr>
            <w:tcW w:w="300" w:type="dxa"/>
            <w:vAlign w:val="bottom"/>
            <w:tcBorders>
              <w:top w:val="single" w:sz="8" w:color="CFF0FC"/>
            </w:tcBorders>
            <w:shd w:val="clear" w:color="auto" w:fill="CFF0FC"/>
          </w:tcPr>
          <w:p>
            <w:pPr>
              <w:spacing w:after="0"/>
              <w:rPr>
                <w:sz w:val="12"/>
                <w:szCs w:val="12"/>
                <w:color w:val="auto"/>
              </w:rPr>
            </w:pPr>
          </w:p>
        </w:tc>
        <w:tc>
          <w:tcPr>
            <w:tcW w:w="11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(1,055,437)</w:t>
            </w:r>
          </w:p>
        </w:tc>
        <w:tc>
          <w:tcPr>
            <w:tcW w:w="120" w:type="dxa"/>
            <w:vAlign w:val="bottom"/>
            <w:tcBorders>
              <w:top w:val="single" w:sz="8" w:color="CFF0FC"/>
            </w:tcBorders>
            <w:shd w:val="clear" w:color="auto" w:fill="CFF0FC"/>
          </w:tcPr>
          <w:p>
            <w:pPr>
              <w:spacing w:after="0"/>
              <w:rPr>
                <w:sz w:val="12"/>
                <w:szCs w:val="12"/>
                <w:color w:val="auto"/>
              </w:rPr>
            </w:pPr>
          </w:p>
        </w:tc>
        <w:tc>
          <w:tcPr>
            <w:tcW w:w="11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(1,346,922)</w:t>
            </w:r>
          </w:p>
        </w:tc>
        <w:tc>
          <w:tcPr>
            <w:tcW w:w="100" w:type="dxa"/>
            <w:vAlign w:val="bottom"/>
            <w:tcBorders>
              <w:top w:val="single" w:sz="8" w:color="CFF0FC"/>
            </w:tcBorders>
            <w:shd w:val="clear" w:color="auto" w:fill="CFF0FC"/>
          </w:tcPr>
          <w:p>
            <w:pPr>
              <w:spacing w:after="0"/>
              <w:rPr>
                <w:sz w:val="12"/>
                <w:szCs w:val="12"/>
                <w:color w:val="auto"/>
              </w:rPr>
            </w:pPr>
          </w:p>
        </w:tc>
        <w:tc>
          <w:tcPr>
            <w:tcW w:w="400" w:type="dxa"/>
            <w:vAlign w:val="bottom"/>
            <w:tcBorders>
              <w:top w:val="single" w:sz="8" w:color="auto"/>
              <w:bottom w:val="single" w:sz="8" w:color="auto"/>
            </w:tcBorders>
            <w:shd w:val="clear" w:color="auto" w:fill="CFF0FC"/>
          </w:tcPr>
          <w:p>
            <w:pPr>
              <w:spacing w:after="0"/>
              <w:rPr>
                <w:sz w:val="12"/>
                <w:szCs w:val="12"/>
                <w:color w:val="auto"/>
              </w:rPr>
            </w:pPr>
          </w:p>
        </w:tc>
        <w:tc>
          <w:tcPr>
            <w:tcW w:w="7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(208,612)</w:t>
            </w:r>
          </w:p>
        </w:tc>
        <w:tc>
          <w:tcPr>
            <w:tcW w:w="120" w:type="dxa"/>
            <w:vAlign w:val="bottom"/>
            <w:tcBorders>
              <w:top w:val="single" w:sz="8" w:color="CFF0FC"/>
            </w:tcBorders>
            <w:shd w:val="clear" w:color="auto" w:fill="CFF0FC"/>
          </w:tcPr>
          <w:p>
            <w:pPr>
              <w:spacing w:after="0"/>
              <w:rPr>
                <w:sz w:val="12"/>
                <w:szCs w:val="12"/>
                <w:color w:val="auto"/>
              </w:rPr>
            </w:pPr>
          </w:p>
        </w:tc>
      </w:tr>
      <w:tr>
        <w:trPr>
          <w:trHeight w:val="142"/>
        </w:trPr>
        <w:tc>
          <w:tcPr>
            <w:tcW w:w="4200" w:type="dxa"/>
            <w:vAlign w:val="bottom"/>
          </w:tcPr>
          <w:p>
            <w:pPr>
              <w:ind w:left="260"/>
              <w:spacing w:after="0" w:line="142" w:lineRule="exact"/>
              <w:rPr>
                <w:sz w:val="20"/>
                <w:szCs w:val="20"/>
                <w:color w:val="auto"/>
              </w:rPr>
            </w:pPr>
            <w:r>
              <w:rPr>
                <w:rFonts w:ascii="Arial" w:cs="Arial" w:eastAsia="Arial" w:hAnsi="Arial"/>
                <w:sz w:val="13"/>
                <w:szCs w:val="13"/>
                <w:color w:val="auto"/>
              </w:rPr>
              <w:t>Change in fair value of financial guarantee derivatives, net</w:t>
            </w:r>
          </w:p>
        </w:tc>
        <w:tc>
          <w:tcPr>
            <w:tcW w:w="960" w:type="dxa"/>
            <w:vAlign w:val="bottom"/>
          </w:tcPr>
          <w:p>
            <w:pPr>
              <w:jc w:val="right"/>
              <w:spacing w:after="0" w:line="142" w:lineRule="exact"/>
              <w:rPr>
                <w:sz w:val="20"/>
                <w:szCs w:val="20"/>
                <w:color w:val="auto"/>
              </w:rPr>
            </w:pPr>
            <w:r>
              <w:rPr>
                <w:rFonts w:ascii="Arial" w:cs="Arial" w:eastAsia="Arial" w:hAnsi="Arial"/>
                <w:sz w:val="13"/>
                <w:szCs w:val="13"/>
                <w:color w:val="auto"/>
              </w:rPr>
              <w:t>79,223</w:t>
            </w:r>
          </w:p>
        </w:tc>
        <w:tc>
          <w:tcPr>
            <w:tcW w:w="12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3"/>
                <w:szCs w:val="13"/>
                <w:color w:val="auto"/>
              </w:rPr>
              <w:t>(19,138)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3"/>
                <w:szCs w:val="13"/>
                <w:color w:val="auto"/>
              </w:rPr>
              <w:t>(2,964)</w:t>
            </w:r>
          </w:p>
        </w:tc>
        <w:tc>
          <w:tcPr>
            <w:tcW w:w="300" w:type="dxa"/>
            <w:vAlign w:val="bottom"/>
          </w:tcPr>
          <w:p>
            <w:pPr>
              <w:spacing w:after="0"/>
              <w:rPr>
                <w:sz w:val="12"/>
                <w:szCs w:val="12"/>
                <w:color w:val="auto"/>
              </w:rPr>
            </w:pPr>
          </w:p>
        </w:tc>
        <w:tc>
          <w:tcPr>
            <w:tcW w:w="1160" w:type="dxa"/>
            <w:vAlign w:val="bottom"/>
          </w:tcPr>
          <w:p>
            <w:pPr>
              <w:jc w:val="right"/>
              <w:spacing w:after="0" w:line="142" w:lineRule="exact"/>
              <w:rPr>
                <w:sz w:val="20"/>
                <w:szCs w:val="20"/>
                <w:color w:val="auto"/>
              </w:rPr>
            </w:pPr>
            <w:r>
              <w:rPr>
                <w:rFonts w:ascii="Arial" w:cs="Arial" w:eastAsia="Arial" w:hAnsi="Arial"/>
                <w:sz w:val="13"/>
                <w:szCs w:val="13"/>
                <w:color w:val="auto"/>
              </w:rPr>
              <w:t>(359,761)</w:t>
            </w:r>
          </w:p>
        </w:tc>
        <w:tc>
          <w:tcPr>
            <w:tcW w:w="120" w:type="dxa"/>
            <w:vAlign w:val="bottom"/>
          </w:tcPr>
          <w:p>
            <w:pPr>
              <w:spacing w:after="0"/>
              <w:rPr>
                <w:sz w:val="12"/>
                <w:szCs w:val="12"/>
                <w:color w:val="auto"/>
              </w:rPr>
            </w:pPr>
          </w:p>
        </w:tc>
        <w:tc>
          <w:tcPr>
            <w:tcW w:w="1160" w:type="dxa"/>
            <w:vAlign w:val="bottom"/>
          </w:tcPr>
          <w:p>
            <w:pPr>
              <w:jc w:val="right"/>
              <w:spacing w:after="0" w:line="142" w:lineRule="exact"/>
              <w:rPr>
                <w:sz w:val="20"/>
                <w:szCs w:val="20"/>
                <w:color w:val="auto"/>
              </w:rPr>
            </w:pPr>
            <w:r>
              <w:rPr>
                <w:rFonts w:ascii="Arial" w:cs="Arial" w:eastAsia="Arial" w:hAnsi="Arial"/>
                <w:sz w:val="13"/>
                <w:szCs w:val="13"/>
                <w:color w:val="auto"/>
              </w:rPr>
              <w:t>134,434</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3"/>
                <w:szCs w:val="13"/>
                <w:color w:val="auto"/>
              </w:rPr>
              <w:t>20,821</w:t>
            </w:r>
          </w:p>
        </w:tc>
        <w:tc>
          <w:tcPr>
            <w:tcW w:w="120" w:type="dxa"/>
            <w:vAlign w:val="bottom"/>
          </w:tcPr>
          <w:p>
            <w:pPr>
              <w:spacing w:after="0"/>
              <w:rPr>
                <w:sz w:val="12"/>
                <w:szCs w:val="12"/>
                <w:color w:val="auto"/>
              </w:rPr>
            </w:pPr>
          </w:p>
        </w:tc>
      </w:tr>
      <w:tr>
        <w:trPr>
          <w:trHeight w:val="149"/>
        </w:trPr>
        <w:tc>
          <w:tcPr>
            <w:tcW w:w="42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Change in fair value of loans at fair value</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17,776</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2,753</w:t>
            </w:r>
          </w:p>
        </w:tc>
        <w:tc>
          <w:tcPr>
            <w:tcW w:w="30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(60,035)</w:t>
            </w:r>
          </w:p>
        </w:tc>
        <w:tc>
          <w:tcPr>
            <w:tcW w:w="4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(9,298)</w:t>
            </w:r>
          </w:p>
        </w:tc>
      </w:tr>
      <w:tr>
        <w:trPr>
          <w:trHeight w:val="148"/>
        </w:trPr>
        <w:tc>
          <w:tcPr>
            <w:tcW w:w="4200" w:type="dxa"/>
            <w:vAlign w:val="bottom"/>
          </w:tcPr>
          <w:p>
            <w:pPr>
              <w:ind w:left="260"/>
              <w:spacing w:after="0"/>
              <w:rPr>
                <w:sz w:val="20"/>
                <w:szCs w:val="20"/>
                <w:color w:val="auto"/>
              </w:rPr>
            </w:pPr>
            <w:r>
              <w:rPr>
                <w:rFonts w:ascii="Arial" w:cs="Arial" w:eastAsia="Arial" w:hAnsi="Arial"/>
                <w:sz w:val="13"/>
                <w:szCs w:val="13"/>
                <w:color w:val="auto"/>
              </w:rPr>
              <w:t>Interest expense, net</w:t>
            </w:r>
          </w:p>
        </w:tc>
        <w:tc>
          <w:tcPr>
            <w:tcW w:w="1080" w:type="dxa"/>
            <w:vAlign w:val="bottom"/>
            <w:gridSpan w:val="2"/>
          </w:tcPr>
          <w:p>
            <w:pPr>
              <w:jc w:val="right"/>
              <w:ind w:right="80"/>
              <w:spacing w:after="0"/>
              <w:rPr>
                <w:sz w:val="20"/>
                <w:szCs w:val="20"/>
                <w:color w:val="auto"/>
              </w:rPr>
            </w:pPr>
            <w:r>
              <w:rPr>
                <w:rFonts w:ascii="Arial" w:cs="Arial" w:eastAsia="Arial" w:hAnsi="Arial"/>
                <w:sz w:val="13"/>
                <w:szCs w:val="13"/>
                <w:color w:val="auto"/>
              </w:rPr>
              <w:t>(23,713)</w:t>
            </w:r>
          </w:p>
        </w:tc>
        <w:tc>
          <w:tcPr>
            <w:tcW w:w="920" w:type="dxa"/>
            <w:vAlign w:val="bottom"/>
            <w:gridSpan w:val="2"/>
          </w:tcPr>
          <w:p>
            <w:pPr>
              <w:jc w:val="right"/>
              <w:ind w:right="60"/>
              <w:spacing w:after="0"/>
              <w:rPr>
                <w:sz w:val="20"/>
                <w:szCs w:val="20"/>
                <w:color w:val="auto"/>
              </w:rPr>
            </w:pPr>
            <w:r>
              <w:rPr>
                <w:rFonts w:ascii="Arial" w:cs="Arial" w:eastAsia="Arial" w:hAnsi="Arial"/>
                <w:sz w:val="13"/>
                <w:szCs w:val="13"/>
                <w:color w:val="auto"/>
              </w:rPr>
              <w:t>(16,661)</w:t>
            </w:r>
          </w:p>
        </w:tc>
        <w:tc>
          <w:tcPr>
            <w:tcW w:w="180" w:type="dxa"/>
            <w:vAlign w:val="bottom"/>
          </w:tcPr>
          <w:p>
            <w:pPr>
              <w:spacing w:after="0"/>
              <w:rPr>
                <w:sz w:val="12"/>
                <w:szCs w:val="12"/>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(2,580)</w:t>
            </w:r>
          </w:p>
        </w:tc>
        <w:tc>
          <w:tcPr>
            <w:tcW w:w="1280" w:type="dxa"/>
            <w:vAlign w:val="bottom"/>
            <w:gridSpan w:val="2"/>
          </w:tcPr>
          <w:p>
            <w:pPr>
              <w:jc w:val="right"/>
              <w:ind w:right="80"/>
              <w:spacing w:after="0"/>
              <w:rPr>
                <w:sz w:val="20"/>
                <w:szCs w:val="20"/>
                <w:color w:val="auto"/>
              </w:rPr>
            </w:pPr>
            <w:r>
              <w:rPr>
                <w:rFonts w:ascii="Arial" w:cs="Arial" w:eastAsia="Arial" w:hAnsi="Arial"/>
                <w:sz w:val="13"/>
                <w:szCs w:val="13"/>
                <w:color w:val="auto"/>
              </w:rPr>
              <w:t>(36,018)</w:t>
            </w:r>
          </w:p>
        </w:tc>
        <w:tc>
          <w:tcPr>
            <w:tcW w:w="1260" w:type="dxa"/>
            <w:vAlign w:val="bottom"/>
            <w:gridSpan w:val="2"/>
          </w:tcPr>
          <w:p>
            <w:pPr>
              <w:jc w:val="right"/>
              <w:ind w:right="60"/>
              <w:spacing w:after="0"/>
              <w:rPr>
                <w:sz w:val="20"/>
                <w:szCs w:val="20"/>
                <w:color w:val="auto"/>
              </w:rPr>
            </w:pPr>
            <w:r>
              <w:rPr>
                <w:rFonts w:ascii="Arial" w:cs="Arial" w:eastAsia="Arial" w:hAnsi="Arial"/>
                <w:sz w:val="13"/>
                <w:szCs w:val="13"/>
                <w:color w:val="auto"/>
              </w:rPr>
              <w:t>(36,350)</w:t>
            </w:r>
          </w:p>
        </w:tc>
        <w:tc>
          <w:tcPr>
            <w:tcW w:w="400" w:type="dxa"/>
            <w:vAlign w:val="bottom"/>
          </w:tcPr>
          <w:p>
            <w:pPr>
              <w:spacing w:after="0"/>
              <w:rPr>
                <w:sz w:val="12"/>
                <w:szCs w:val="12"/>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3"/>
                <w:szCs w:val="13"/>
                <w:color w:val="auto"/>
              </w:rPr>
              <w:t>(5,630)</w:t>
            </w:r>
          </w:p>
        </w:tc>
      </w:tr>
      <w:tr>
        <w:trPr>
          <w:trHeight w:val="148"/>
        </w:trPr>
        <w:tc>
          <w:tcPr>
            <w:tcW w:w="42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Investment income/(loss)</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26,880</w:t>
            </w:r>
          </w:p>
        </w:tc>
        <w:tc>
          <w:tcPr>
            <w:tcW w:w="12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(2,208)</w:t>
            </w:r>
          </w:p>
        </w:tc>
        <w:tc>
          <w:tcPr>
            <w:tcW w:w="1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(342)</w:t>
            </w: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10,614</w:t>
            </w:r>
          </w:p>
        </w:tc>
        <w:tc>
          <w:tcPr>
            <w:tcW w:w="12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(2,397)</w:t>
            </w:r>
          </w:p>
        </w:tc>
        <w:tc>
          <w:tcPr>
            <w:tcW w:w="4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(371)</w:t>
            </w:r>
          </w:p>
        </w:tc>
      </w:tr>
      <w:tr>
        <w:trPr>
          <w:trHeight w:val="148"/>
        </w:trPr>
        <w:tc>
          <w:tcPr>
            <w:tcW w:w="4200" w:type="dxa"/>
            <w:vAlign w:val="bottom"/>
          </w:tcPr>
          <w:p>
            <w:pPr>
              <w:ind w:left="260"/>
              <w:spacing w:after="0"/>
              <w:rPr>
                <w:sz w:val="20"/>
                <w:szCs w:val="20"/>
                <w:color w:val="auto"/>
              </w:rPr>
            </w:pPr>
            <w:r>
              <w:rPr>
                <w:rFonts w:ascii="Arial" w:cs="Arial" w:eastAsia="Arial" w:hAnsi="Arial"/>
                <w:sz w:val="13"/>
                <w:szCs w:val="13"/>
                <w:color w:val="auto"/>
              </w:rPr>
              <w:t>Others, net</w:t>
            </w:r>
          </w:p>
        </w:tc>
        <w:tc>
          <w:tcPr>
            <w:tcW w:w="960" w:type="dxa"/>
            <w:vAlign w:val="bottom"/>
          </w:tcPr>
          <w:p>
            <w:pPr>
              <w:jc w:val="right"/>
              <w:spacing w:after="0"/>
              <w:rPr>
                <w:sz w:val="20"/>
                <w:szCs w:val="20"/>
                <w:color w:val="auto"/>
              </w:rPr>
            </w:pPr>
            <w:r>
              <w:rPr>
                <w:rFonts w:ascii="Arial" w:cs="Arial" w:eastAsia="Arial" w:hAnsi="Arial"/>
                <w:sz w:val="13"/>
                <w:szCs w:val="13"/>
                <w:color w:val="auto"/>
              </w:rPr>
              <w:t>21,248</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42,586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6,596</w:t>
            </w:r>
          </w:p>
        </w:tc>
        <w:tc>
          <w:tcPr>
            <w:tcW w:w="300" w:type="dxa"/>
            <w:vAlign w:val="bottom"/>
          </w:tcPr>
          <w:p>
            <w:pPr>
              <w:spacing w:after="0"/>
              <w:rPr>
                <w:sz w:val="12"/>
                <w:szCs w:val="12"/>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3"/>
                <w:szCs w:val="13"/>
                <w:color w:val="auto"/>
              </w:rPr>
              <w:t>(1,946)</w:t>
            </w:r>
          </w:p>
        </w:tc>
        <w:tc>
          <w:tcPr>
            <w:tcW w:w="1160" w:type="dxa"/>
            <w:vAlign w:val="bottom"/>
          </w:tcPr>
          <w:p>
            <w:pPr>
              <w:jc w:val="right"/>
              <w:spacing w:after="0"/>
              <w:rPr>
                <w:sz w:val="20"/>
                <w:szCs w:val="20"/>
                <w:color w:val="auto"/>
              </w:rPr>
            </w:pPr>
            <w:r>
              <w:rPr>
                <w:rFonts w:ascii="Arial" w:cs="Arial" w:eastAsia="Arial" w:hAnsi="Arial"/>
                <w:sz w:val="13"/>
                <w:szCs w:val="13"/>
                <w:color w:val="auto"/>
              </w:rPr>
              <w:t>60,835</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9,422</w:t>
            </w:r>
          </w:p>
        </w:tc>
        <w:tc>
          <w:tcPr>
            <w:tcW w:w="120" w:type="dxa"/>
            <w:vAlign w:val="bottom"/>
          </w:tcPr>
          <w:p>
            <w:pPr>
              <w:spacing w:after="0"/>
              <w:rPr>
                <w:sz w:val="12"/>
                <w:szCs w:val="12"/>
                <w:color w:val="auto"/>
              </w:rPr>
            </w:pPr>
          </w:p>
        </w:tc>
      </w:tr>
      <w:tr>
        <w:trPr>
          <w:trHeight w:val="142"/>
        </w:trPr>
        <w:tc>
          <w:tcPr>
            <w:tcW w:w="420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Income/(loss) before income tax expense</w:t>
            </w:r>
          </w:p>
        </w:tc>
        <w:tc>
          <w:tcPr>
            <w:tcW w:w="9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495,680</w:t>
            </w:r>
          </w:p>
        </w:tc>
        <w:tc>
          <w:tcPr>
            <w:tcW w:w="12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937,721</w:t>
            </w:r>
          </w:p>
        </w:tc>
        <w:tc>
          <w:tcPr>
            <w:tcW w:w="10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bottom w:val="single" w:sz="8" w:color="auto"/>
            </w:tcBorders>
            <w:shd w:val="clear" w:color="auto" w:fill="CFF0FC"/>
          </w:tcPr>
          <w:p>
            <w:pPr>
              <w:spacing w:after="0"/>
              <w:rPr>
                <w:sz w:val="12"/>
                <w:szCs w:val="12"/>
                <w:color w:val="auto"/>
              </w:rPr>
            </w:pPr>
          </w:p>
        </w:tc>
        <w:tc>
          <w:tcPr>
            <w:tcW w:w="7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145,235</w:t>
            </w:r>
          </w:p>
        </w:tc>
        <w:tc>
          <w:tcPr>
            <w:tcW w:w="300" w:type="dxa"/>
            <w:vAlign w:val="bottom"/>
            <w:tcBorders>
              <w:top w:val="single" w:sz="8" w:color="CFF0FC"/>
            </w:tcBorders>
            <w:shd w:val="clear" w:color="auto" w:fill="CFF0FC"/>
          </w:tcPr>
          <w:p>
            <w:pPr>
              <w:spacing w:after="0"/>
              <w:rPr>
                <w:sz w:val="12"/>
                <w:szCs w:val="12"/>
                <w:color w:val="auto"/>
              </w:rPr>
            </w:pPr>
          </w:p>
        </w:tc>
        <w:tc>
          <w:tcPr>
            <w:tcW w:w="11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(307,694)</w:t>
            </w:r>
          </w:p>
        </w:tc>
        <w:tc>
          <w:tcPr>
            <w:tcW w:w="120" w:type="dxa"/>
            <w:vAlign w:val="bottom"/>
            <w:tcBorders>
              <w:top w:val="single" w:sz="8" w:color="CFF0FC"/>
            </w:tcBorders>
            <w:shd w:val="clear" w:color="auto" w:fill="CFF0FC"/>
          </w:tcPr>
          <w:p>
            <w:pPr>
              <w:spacing w:after="0"/>
              <w:rPr>
                <w:sz w:val="12"/>
                <w:szCs w:val="12"/>
                <w:color w:val="auto"/>
              </w:rPr>
            </w:pPr>
          </w:p>
        </w:tc>
        <w:tc>
          <w:tcPr>
            <w:tcW w:w="11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1,780,059</w:t>
            </w:r>
          </w:p>
        </w:tc>
        <w:tc>
          <w:tcPr>
            <w:tcW w:w="100" w:type="dxa"/>
            <w:vAlign w:val="bottom"/>
            <w:tcBorders>
              <w:top w:val="single" w:sz="8" w:color="CFF0FC"/>
            </w:tcBorders>
            <w:shd w:val="clear" w:color="auto" w:fill="CFF0FC"/>
          </w:tcPr>
          <w:p>
            <w:pPr>
              <w:spacing w:after="0"/>
              <w:rPr>
                <w:sz w:val="12"/>
                <w:szCs w:val="12"/>
                <w:color w:val="auto"/>
              </w:rPr>
            </w:pPr>
          </w:p>
        </w:tc>
        <w:tc>
          <w:tcPr>
            <w:tcW w:w="400" w:type="dxa"/>
            <w:vAlign w:val="bottom"/>
            <w:tcBorders>
              <w:top w:val="single" w:sz="8" w:color="auto"/>
              <w:bottom w:val="single" w:sz="8" w:color="auto"/>
            </w:tcBorders>
            <w:shd w:val="clear" w:color="auto" w:fill="CFF0FC"/>
          </w:tcPr>
          <w:p>
            <w:pPr>
              <w:spacing w:after="0"/>
              <w:rPr>
                <w:sz w:val="12"/>
                <w:szCs w:val="12"/>
                <w:color w:val="auto"/>
              </w:rPr>
            </w:pPr>
          </w:p>
        </w:tc>
        <w:tc>
          <w:tcPr>
            <w:tcW w:w="7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275,697</w:t>
            </w:r>
          </w:p>
        </w:tc>
        <w:tc>
          <w:tcPr>
            <w:tcW w:w="120" w:type="dxa"/>
            <w:vAlign w:val="bottom"/>
            <w:tcBorders>
              <w:top w:val="single" w:sz="8" w:color="CFF0FC"/>
            </w:tcBorders>
            <w:shd w:val="clear" w:color="auto" w:fill="CFF0FC"/>
          </w:tcPr>
          <w:p>
            <w:pPr>
              <w:spacing w:after="0"/>
              <w:rPr>
                <w:sz w:val="12"/>
                <w:szCs w:val="12"/>
                <w:color w:val="auto"/>
              </w:rPr>
            </w:pPr>
          </w:p>
        </w:tc>
      </w:tr>
      <w:tr>
        <w:trPr>
          <w:trHeight w:val="142"/>
        </w:trPr>
        <w:tc>
          <w:tcPr>
            <w:tcW w:w="4200" w:type="dxa"/>
            <w:vAlign w:val="bottom"/>
            <w:tcBorders>
              <w:bottom w:val="single" w:sz="8" w:color="CFF0FC"/>
            </w:tcBorders>
          </w:tcPr>
          <w:p>
            <w:pPr>
              <w:ind w:left="260"/>
              <w:spacing w:after="0" w:line="142" w:lineRule="exact"/>
              <w:rPr>
                <w:sz w:val="20"/>
                <w:szCs w:val="20"/>
                <w:color w:val="auto"/>
              </w:rPr>
            </w:pPr>
            <w:r>
              <w:rPr>
                <w:rFonts w:ascii="Arial" w:cs="Arial" w:eastAsia="Arial" w:hAnsi="Arial"/>
                <w:sz w:val="13"/>
                <w:szCs w:val="13"/>
                <w:color w:val="auto"/>
              </w:rPr>
              <w:t>Income tax (expense)/benefit</w:t>
            </w:r>
          </w:p>
        </w:tc>
        <w:tc>
          <w:tcPr>
            <w:tcW w:w="9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(76,644)</w:t>
            </w:r>
          </w:p>
        </w:tc>
        <w:tc>
          <w:tcPr>
            <w:tcW w:w="12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(151,059)</w:t>
            </w:r>
          </w:p>
        </w:tc>
        <w:tc>
          <w:tcPr>
            <w:tcW w:w="10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(23,396)</w:t>
            </w:r>
          </w:p>
        </w:tc>
        <w:tc>
          <w:tcPr>
            <w:tcW w:w="300" w:type="dxa"/>
            <w:vAlign w:val="bottom"/>
            <w:tcBorders>
              <w:bottom w:val="single" w:sz="8" w:color="CFF0FC"/>
            </w:tcBorders>
          </w:tcPr>
          <w:p>
            <w:pPr>
              <w:spacing w:after="0"/>
              <w:rPr>
                <w:sz w:val="12"/>
                <w:szCs w:val="12"/>
                <w:color w:val="auto"/>
              </w:rPr>
            </w:pPr>
          </w:p>
        </w:tc>
        <w:tc>
          <w:tcPr>
            <w:tcW w:w="1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48,303</w:t>
            </w:r>
          </w:p>
        </w:tc>
        <w:tc>
          <w:tcPr>
            <w:tcW w:w="120" w:type="dxa"/>
            <w:vAlign w:val="bottom"/>
            <w:tcBorders>
              <w:bottom w:val="single" w:sz="8" w:color="CFF0FC"/>
            </w:tcBorders>
          </w:tcPr>
          <w:p>
            <w:pPr>
              <w:spacing w:after="0"/>
              <w:rPr>
                <w:sz w:val="12"/>
                <w:szCs w:val="12"/>
                <w:color w:val="auto"/>
              </w:rPr>
            </w:pPr>
          </w:p>
        </w:tc>
        <w:tc>
          <w:tcPr>
            <w:tcW w:w="1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(282,316)</w:t>
            </w:r>
          </w:p>
        </w:tc>
        <w:tc>
          <w:tcPr>
            <w:tcW w:w="100" w:type="dxa"/>
            <w:vAlign w:val="bottom"/>
            <w:tcBorders>
              <w:bottom w:val="single" w:sz="8" w:color="CFF0FC"/>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(43,725)</w:t>
            </w:r>
          </w:p>
        </w:tc>
        <w:tc>
          <w:tcPr>
            <w:tcW w:w="120" w:type="dxa"/>
            <w:vAlign w:val="bottom"/>
            <w:tcBorders>
              <w:bottom w:val="single" w:sz="8" w:color="CFF0FC"/>
            </w:tcBorders>
          </w:tcPr>
          <w:p>
            <w:pPr>
              <w:spacing w:after="0"/>
              <w:rPr>
                <w:sz w:val="12"/>
                <w:szCs w:val="12"/>
                <w:color w:val="auto"/>
              </w:rPr>
            </w:pPr>
          </w:p>
        </w:tc>
      </w:tr>
      <w:tr>
        <w:trPr>
          <w:trHeight w:val="142"/>
        </w:trPr>
        <w:tc>
          <w:tcPr>
            <w:tcW w:w="4200" w:type="dxa"/>
            <w:vAlign w:val="bottom"/>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Net income/(loss)</w:t>
            </w:r>
          </w:p>
        </w:tc>
        <w:tc>
          <w:tcPr>
            <w:tcW w:w="9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419,036</w:t>
            </w:r>
          </w:p>
        </w:tc>
        <w:tc>
          <w:tcPr>
            <w:tcW w:w="120" w:type="dxa"/>
            <w:vAlign w:val="bottom"/>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786,662</w:t>
            </w:r>
          </w:p>
        </w:tc>
        <w:tc>
          <w:tcPr>
            <w:tcW w:w="100" w:type="dxa"/>
            <w:vAlign w:val="bottom"/>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121,839</w:t>
            </w:r>
          </w:p>
        </w:tc>
        <w:tc>
          <w:tcPr>
            <w:tcW w:w="300" w:type="dxa"/>
            <w:vAlign w:val="bottom"/>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(259,391)</w:t>
            </w:r>
          </w:p>
        </w:tc>
        <w:tc>
          <w:tcPr>
            <w:tcW w:w="120" w:type="dxa"/>
            <w:vAlign w:val="bottom"/>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1,497,743</w:t>
            </w:r>
          </w:p>
        </w:tc>
        <w:tc>
          <w:tcPr>
            <w:tcW w:w="100" w:type="dxa"/>
            <w:vAlign w:val="bottom"/>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231,972</w:t>
            </w:r>
          </w:p>
        </w:tc>
        <w:tc>
          <w:tcPr>
            <w:tcW w:w="120" w:type="dxa"/>
            <w:vAlign w:val="bottom"/>
            <w:shd w:val="clear" w:color="auto" w:fill="CFF0FC"/>
          </w:tcPr>
          <w:p>
            <w:pPr>
              <w:spacing w:after="0"/>
              <w:rPr>
                <w:sz w:val="12"/>
                <w:szCs w:val="12"/>
                <w:color w:val="auto"/>
              </w:rPr>
            </w:pPr>
          </w:p>
        </w:tc>
      </w:tr>
      <w:tr>
        <w:trPr>
          <w:trHeight w:val="142"/>
        </w:trPr>
        <w:tc>
          <w:tcPr>
            <w:tcW w:w="4200" w:type="dxa"/>
            <w:vAlign w:val="bottom"/>
            <w:tcBorders>
              <w:bottom w:val="single" w:sz="8" w:color="CFF0FC"/>
            </w:tcBorders>
          </w:tcPr>
          <w:p>
            <w:pPr>
              <w:ind w:left="260"/>
              <w:spacing w:after="0" w:line="142" w:lineRule="exact"/>
              <w:rPr>
                <w:sz w:val="20"/>
                <w:szCs w:val="20"/>
                <w:color w:val="auto"/>
              </w:rPr>
            </w:pPr>
            <w:r>
              <w:rPr>
                <w:rFonts w:ascii="Arial" w:cs="Arial" w:eastAsia="Arial" w:hAnsi="Arial"/>
                <w:sz w:val="13"/>
                <w:szCs w:val="13"/>
                <w:color w:val="auto"/>
              </w:rPr>
              <w:t>Less: Net income attributable to non-controlling interests</w:t>
            </w:r>
          </w:p>
        </w:tc>
        <w:tc>
          <w:tcPr>
            <w:tcW w:w="9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505</w:t>
            </w:r>
          </w:p>
        </w:tc>
        <w:tc>
          <w:tcPr>
            <w:tcW w:w="10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78</w:t>
            </w:r>
          </w:p>
        </w:tc>
        <w:tc>
          <w:tcPr>
            <w:tcW w:w="300" w:type="dxa"/>
            <w:vAlign w:val="bottom"/>
            <w:tcBorders>
              <w:bottom w:val="single" w:sz="8" w:color="CFF0FC"/>
            </w:tcBorders>
          </w:tcPr>
          <w:p>
            <w:pPr>
              <w:spacing w:after="0"/>
              <w:rPr>
                <w:sz w:val="12"/>
                <w:szCs w:val="12"/>
                <w:color w:val="auto"/>
              </w:rPr>
            </w:pPr>
          </w:p>
        </w:tc>
        <w:tc>
          <w:tcPr>
            <w:tcW w:w="1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tcPr>
          <w:p>
            <w:pPr>
              <w:spacing w:after="0"/>
              <w:rPr>
                <w:sz w:val="12"/>
                <w:szCs w:val="12"/>
                <w:color w:val="auto"/>
              </w:rPr>
            </w:pPr>
          </w:p>
        </w:tc>
        <w:tc>
          <w:tcPr>
            <w:tcW w:w="1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47</w:t>
            </w:r>
          </w:p>
        </w:tc>
        <w:tc>
          <w:tcPr>
            <w:tcW w:w="100" w:type="dxa"/>
            <w:vAlign w:val="bottom"/>
            <w:tcBorders>
              <w:bottom w:val="single" w:sz="8" w:color="CFF0FC"/>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w:t>
            </w:r>
          </w:p>
        </w:tc>
        <w:tc>
          <w:tcPr>
            <w:tcW w:w="120" w:type="dxa"/>
            <w:vAlign w:val="bottom"/>
            <w:tcBorders>
              <w:bottom w:val="single" w:sz="8" w:color="CFF0FC"/>
            </w:tcBorders>
          </w:tcPr>
          <w:p>
            <w:pPr>
              <w:spacing w:after="0"/>
              <w:rPr>
                <w:sz w:val="12"/>
                <w:szCs w:val="12"/>
                <w:color w:val="auto"/>
              </w:rPr>
            </w:pPr>
          </w:p>
        </w:tc>
      </w:tr>
      <w:tr>
        <w:trPr>
          <w:trHeight w:val="142"/>
        </w:trPr>
        <w:tc>
          <w:tcPr>
            <w:tcW w:w="4200" w:type="dxa"/>
            <w:vAlign w:val="bottom"/>
            <w:tcBorders>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w w:val="94"/>
              </w:rPr>
              <w:t>Net income/(loss) attributable to ordinary shareholders of the Company</w:t>
            </w:r>
          </w:p>
        </w:tc>
        <w:tc>
          <w:tcPr>
            <w:tcW w:w="9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419,036</w:t>
            </w:r>
          </w:p>
        </w:tc>
        <w:tc>
          <w:tcPr>
            <w:tcW w:w="12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786,157</w:t>
            </w:r>
          </w:p>
        </w:tc>
        <w:tc>
          <w:tcPr>
            <w:tcW w:w="10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121,761</w:t>
            </w:r>
          </w:p>
        </w:tc>
        <w:tc>
          <w:tcPr>
            <w:tcW w:w="300" w:type="dxa"/>
            <w:vAlign w:val="bottom"/>
            <w:tcBorders>
              <w:bottom w:val="single" w:sz="8" w:color="CFF0FC"/>
            </w:tcBorders>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(259,391)</w:t>
            </w:r>
          </w:p>
        </w:tc>
        <w:tc>
          <w:tcPr>
            <w:tcW w:w="120" w:type="dxa"/>
            <w:vAlign w:val="bottom"/>
            <w:tcBorders>
              <w:bottom w:val="single" w:sz="8" w:color="CFF0FC"/>
            </w:tcBorders>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1,497,696</w:t>
            </w:r>
          </w:p>
        </w:tc>
        <w:tc>
          <w:tcPr>
            <w:tcW w:w="100" w:type="dxa"/>
            <w:vAlign w:val="bottom"/>
            <w:tcBorders>
              <w:bottom w:val="single" w:sz="8" w:color="CFF0FC"/>
            </w:tcBorders>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231,965</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20"/>
        </w:trPr>
        <w:tc>
          <w:tcPr>
            <w:tcW w:w="4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15"/>
        </w:trPr>
        <w:tc>
          <w:tcPr>
            <w:tcW w:w="4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0"/>
        </w:trPr>
        <w:tc>
          <w:tcPr>
            <w:tcW w:w="4200" w:type="dxa"/>
            <w:vAlign w:val="bottom"/>
            <w:shd w:val="clear" w:color="auto" w:fill="CFF0FC"/>
          </w:tcPr>
          <w:p>
            <w:pPr>
              <w:spacing w:after="0" w:line="131" w:lineRule="exact"/>
              <w:rPr>
                <w:sz w:val="20"/>
                <w:szCs w:val="20"/>
                <w:color w:val="auto"/>
              </w:rPr>
            </w:pPr>
            <w:r>
              <w:rPr>
                <w:rFonts w:ascii="Arial" w:cs="Arial" w:eastAsia="Arial" w:hAnsi="Arial"/>
                <w:sz w:val="13"/>
                <w:szCs w:val="13"/>
                <w:b w:val="1"/>
                <w:bCs w:val="1"/>
                <w:color w:val="auto"/>
                <w:w w:val="88"/>
              </w:rPr>
              <w:t>Net income/(loss) per ordinary share attributable to ordinary shareholders of</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53"/>
        </w:trPr>
        <w:tc>
          <w:tcPr>
            <w:tcW w:w="420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the Company</w:t>
            </w:r>
          </w:p>
        </w:tc>
        <w:tc>
          <w:tcPr>
            <w:tcW w:w="9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48"/>
        </w:trPr>
        <w:tc>
          <w:tcPr>
            <w:tcW w:w="4200" w:type="dxa"/>
            <w:vAlign w:val="bottom"/>
          </w:tcPr>
          <w:p>
            <w:pPr>
              <w:ind w:left="260"/>
              <w:spacing w:after="0"/>
              <w:rPr>
                <w:sz w:val="20"/>
                <w:szCs w:val="20"/>
                <w:color w:val="auto"/>
              </w:rPr>
            </w:pPr>
            <w:r>
              <w:rPr>
                <w:rFonts w:ascii="Arial" w:cs="Arial" w:eastAsia="Arial" w:hAnsi="Arial"/>
                <w:sz w:val="13"/>
                <w:szCs w:val="13"/>
                <w:color w:val="auto"/>
              </w:rPr>
              <w:t>Basic</w:t>
            </w:r>
          </w:p>
        </w:tc>
        <w:tc>
          <w:tcPr>
            <w:tcW w:w="960" w:type="dxa"/>
            <w:vAlign w:val="bottom"/>
          </w:tcPr>
          <w:p>
            <w:pPr>
              <w:jc w:val="right"/>
              <w:spacing w:after="0"/>
              <w:rPr>
                <w:sz w:val="20"/>
                <w:szCs w:val="20"/>
                <w:color w:val="auto"/>
              </w:rPr>
            </w:pPr>
            <w:r>
              <w:rPr>
                <w:rFonts w:ascii="Arial" w:cs="Arial" w:eastAsia="Arial" w:hAnsi="Arial"/>
                <w:sz w:val="13"/>
                <w:szCs w:val="13"/>
                <w:color w:val="auto"/>
              </w:rPr>
              <w:t>1.15</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2.13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0.33</w:t>
            </w:r>
          </w:p>
        </w:tc>
        <w:tc>
          <w:tcPr>
            <w:tcW w:w="300" w:type="dxa"/>
            <w:vAlign w:val="bottom"/>
          </w:tcPr>
          <w:p>
            <w:pPr>
              <w:spacing w:after="0"/>
              <w:rPr>
                <w:sz w:val="12"/>
                <w:szCs w:val="12"/>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3"/>
                <w:szCs w:val="13"/>
                <w:color w:val="auto"/>
              </w:rPr>
              <w:t>(0.71)</w:t>
            </w:r>
          </w:p>
        </w:tc>
        <w:tc>
          <w:tcPr>
            <w:tcW w:w="1160" w:type="dxa"/>
            <w:vAlign w:val="bottom"/>
          </w:tcPr>
          <w:p>
            <w:pPr>
              <w:jc w:val="right"/>
              <w:spacing w:after="0"/>
              <w:rPr>
                <w:sz w:val="20"/>
                <w:szCs w:val="20"/>
                <w:color w:val="auto"/>
              </w:rPr>
            </w:pPr>
            <w:r>
              <w:rPr>
                <w:rFonts w:ascii="Arial" w:cs="Arial" w:eastAsia="Arial" w:hAnsi="Arial"/>
                <w:sz w:val="13"/>
                <w:szCs w:val="13"/>
                <w:color w:val="auto"/>
              </w:rPr>
              <w:t>4.07</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0.63</w:t>
            </w:r>
          </w:p>
        </w:tc>
        <w:tc>
          <w:tcPr>
            <w:tcW w:w="120" w:type="dxa"/>
            <w:vAlign w:val="bottom"/>
          </w:tcPr>
          <w:p>
            <w:pPr>
              <w:spacing w:after="0"/>
              <w:rPr>
                <w:sz w:val="12"/>
                <w:szCs w:val="12"/>
                <w:color w:val="auto"/>
              </w:rPr>
            </w:pPr>
          </w:p>
        </w:tc>
      </w:tr>
      <w:tr>
        <w:trPr>
          <w:trHeight w:val="149"/>
        </w:trPr>
        <w:tc>
          <w:tcPr>
            <w:tcW w:w="42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Diluted</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1.05</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1.91</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0.30</w:t>
            </w:r>
          </w:p>
        </w:tc>
        <w:tc>
          <w:tcPr>
            <w:tcW w:w="3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(0.71)</w:t>
            </w: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3.65</w:t>
            </w: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0.57</w:t>
            </w:r>
          </w:p>
        </w:tc>
        <w:tc>
          <w:tcPr>
            <w:tcW w:w="120" w:type="dxa"/>
            <w:vAlign w:val="bottom"/>
            <w:shd w:val="clear" w:color="auto" w:fill="CFF0FC"/>
          </w:tcPr>
          <w:p>
            <w:pPr>
              <w:spacing w:after="0"/>
              <w:rPr>
                <w:sz w:val="12"/>
                <w:szCs w:val="12"/>
                <w:color w:val="auto"/>
              </w:rPr>
            </w:pPr>
          </w:p>
        </w:tc>
      </w:tr>
      <w:tr>
        <w:trPr>
          <w:trHeight w:val="148"/>
        </w:trPr>
        <w:tc>
          <w:tcPr>
            <w:tcW w:w="4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4200" w:type="dxa"/>
            <w:vAlign w:val="bottom"/>
            <w:shd w:val="clear" w:color="auto" w:fill="CFF0FC"/>
          </w:tcPr>
          <w:p>
            <w:pPr>
              <w:spacing w:after="0" w:line="131" w:lineRule="exact"/>
              <w:rPr>
                <w:sz w:val="20"/>
                <w:szCs w:val="20"/>
                <w:color w:val="auto"/>
              </w:rPr>
            </w:pPr>
            <w:r>
              <w:rPr>
                <w:rFonts w:ascii="Arial" w:cs="Arial" w:eastAsia="Arial" w:hAnsi="Arial"/>
                <w:sz w:val="13"/>
                <w:szCs w:val="13"/>
                <w:b w:val="1"/>
                <w:bCs w:val="1"/>
                <w:color w:val="auto"/>
                <w:w w:val="96"/>
              </w:rPr>
              <w:t>Net income/(loss) per ADS attributable to ordinary shareholders of the</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53"/>
        </w:trPr>
        <w:tc>
          <w:tcPr>
            <w:tcW w:w="420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Company</w:t>
            </w:r>
          </w:p>
        </w:tc>
        <w:tc>
          <w:tcPr>
            <w:tcW w:w="9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49"/>
        </w:trPr>
        <w:tc>
          <w:tcPr>
            <w:tcW w:w="4200" w:type="dxa"/>
            <w:vAlign w:val="bottom"/>
          </w:tcPr>
          <w:p>
            <w:pPr>
              <w:ind w:left="260"/>
              <w:spacing w:after="0"/>
              <w:rPr>
                <w:sz w:val="20"/>
                <w:szCs w:val="20"/>
                <w:color w:val="auto"/>
              </w:rPr>
            </w:pPr>
            <w:r>
              <w:rPr>
                <w:rFonts w:ascii="Arial" w:cs="Arial" w:eastAsia="Arial" w:hAnsi="Arial"/>
                <w:sz w:val="13"/>
                <w:szCs w:val="13"/>
                <w:color w:val="auto"/>
              </w:rPr>
              <w:t>Basic</w:t>
            </w:r>
          </w:p>
        </w:tc>
        <w:tc>
          <w:tcPr>
            <w:tcW w:w="960" w:type="dxa"/>
            <w:vAlign w:val="bottom"/>
          </w:tcPr>
          <w:p>
            <w:pPr>
              <w:jc w:val="right"/>
              <w:spacing w:after="0"/>
              <w:rPr>
                <w:sz w:val="20"/>
                <w:szCs w:val="20"/>
                <w:color w:val="auto"/>
              </w:rPr>
            </w:pPr>
            <w:r>
              <w:rPr>
                <w:rFonts w:ascii="Arial" w:cs="Arial" w:eastAsia="Arial" w:hAnsi="Arial"/>
                <w:sz w:val="13"/>
                <w:szCs w:val="13"/>
                <w:color w:val="auto"/>
              </w:rPr>
              <w:t>2.30</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4.27</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0.66</w:t>
            </w:r>
          </w:p>
        </w:tc>
        <w:tc>
          <w:tcPr>
            <w:tcW w:w="300" w:type="dxa"/>
            <w:vAlign w:val="bottom"/>
          </w:tcPr>
          <w:p>
            <w:pPr>
              <w:spacing w:after="0"/>
              <w:rPr>
                <w:sz w:val="12"/>
                <w:szCs w:val="12"/>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3"/>
                <w:szCs w:val="13"/>
                <w:color w:val="auto"/>
              </w:rPr>
              <w:t>(1.43)</w:t>
            </w:r>
          </w:p>
        </w:tc>
        <w:tc>
          <w:tcPr>
            <w:tcW w:w="1160" w:type="dxa"/>
            <w:vAlign w:val="bottom"/>
          </w:tcPr>
          <w:p>
            <w:pPr>
              <w:jc w:val="right"/>
              <w:spacing w:after="0"/>
              <w:rPr>
                <w:sz w:val="20"/>
                <w:szCs w:val="20"/>
                <w:color w:val="auto"/>
              </w:rPr>
            </w:pPr>
            <w:r>
              <w:rPr>
                <w:rFonts w:ascii="Arial" w:cs="Arial" w:eastAsia="Arial" w:hAnsi="Arial"/>
                <w:sz w:val="13"/>
                <w:szCs w:val="13"/>
                <w:color w:val="auto"/>
              </w:rPr>
              <w:t>8.13</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1.26</w:t>
            </w:r>
          </w:p>
        </w:tc>
        <w:tc>
          <w:tcPr>
            <w:tcW w:w="120" w:type="dxa"/>
            <w:vAlign w:val="bottom"/>
          </w:tcPr>
          <w:p>
            <w:pPr>
              <w:spacing w:after="0"/>
              <w:rPr>
                <w:sz w:val="12"/>
                <w:szCs w:val="12"/>
                <w:color w:val="auto"/>
              </w:rPr>
            </w:pPr>
          </w:p>
        </w:tc>
      </w:tr>
      <w:tr>
        <w:trPr>
          <w:trHeight w:val="148"/>
        </w:trPr>
        <w:tc>
          <w:tcPr>
            <w:tcW w:w="42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Diluted</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2.10</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3.82</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0.59</w:t>
            </w:r>
          </w:p>
        </w:tc>
        <w:tc>
          <w:tcPr>
            <w:tcW w:w="3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(1.43)</w:t>
            </w: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7.30</w:t>
            </w: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1.13</w:t>
            </w:r>
          </w:p>
        </w:tc>
        <w:tc>
          <w:tcPr>
            <w:tcW w:w="120" w:type="dxa"/>
            <w:vAlign w:val="bottom"/>
            <w:shd w:val="clear" w:color="auto" w:fill="CFF0FC"/>
          </w:tcPr>
          <w:p>
            <w:pPr>
              <w:spacing w:after="0"/>
              <w:rPr>
                <w:sz w:val="12"/>
                <w:szCs w:val="12"/>
                <w:color w:val="auto"/>
              </w:rPr>
            </w:pPr>
          </w:p>
        </w:tc>
      </w:tr>
      <w:tr>
        <w:trPr>
          <w:trHeight w:val="135"/>
        </w:trPr>
        <w:tc>
          <w:tcPr>
            <w:tcW w:w="4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8"/>
        </w:trPr>
        <w:tc>
          <w:tcPr>
            <w:tcW w:w="420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Weighted average ordinary shares outstanding</w:t>
            </w: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4200" w:type="dxa"/>
            <w:vAlign w:val="bottom"/>
          </w:tcPr>
          <w:p>
            <w:pPr>
              <w:ind w:left="260"/>
              <w:spacing w:after="0"/>
              <w:rPr>
                <w:sz w:val="20"/>
                <w:szCs w:val="20"/>
                <w:color w:val="auto"/>
              </w:rPr>
            </w:pPr>
            <w:r>
              <w:rPr>
                <w:rFonts w:ascii="Arial" w:cs="Arial" w:eastAsia="Arial" w:hAnsi="Arial"/>
                <w:sz w:val="13"/>
                <w:szCs w:val="13"/>
                <w:color w:val="auto"/>
              </w:rPr>
              <w:t>Basic</w:t>
            </w:r>
          </w:p>
        </w:tc>
        <w:tc>
          <w:tcPr>
            <w:tcW w:w="960" w:type="dxa"/>
            <w:vAlign w:val="bottom"/>
          </w:tcPr>
          <w:p>
            <w:pPr>
              <w:jc w:val="right"/>
              <w:spacing w:after="0"/>
              <w:rPr>
                <w:sz w:val="20"/>
                <w:szCs w:val="20"/>
                <w:color w:val="auto"/>
              </w:rPr>
            </w:pPr>
            <w:r>
              <w:rPr>
                <w:rFonts w:ascii="Arial" w:cs="Arial" w:eastAsia="Arial" w:hAnsi="Arial"/>
                <w:sz w:val="13"/>
                <w:szCs w:val="13"/>
                <w:color w:val="auto"/>
              </w:rPr>
              <w:t>364,483,393</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368,245,622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w w:val="94"/>
              </w:rPr>
              <w:t>368,245,622</w:t>
            </w:r>
          </w:p>
        </w:tc>
        <w:tc>
          <w:tcPr>
            <w:tcW w:w="3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363,992,775</w:t>
            </w:r>
          </w:p>
        </w:tc>
        <w:tc>
          <w:tcPr>
            <w:tcW w:w="12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368,257,243</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368,257,243</w:t>
            </w:r>
          </w:p>
        </w:tc>
        <w:tc>
          <w:tcPr>
            <w:tcW w:w="120" w:type="dxa"/>
            <w:vAlign w:val="bottom"/>
          </w:tcPr>
          <w:p>
            <w:pPr>
              <w:spacing w:after="0"/>
              <w:rPr>
                <w:sz w:val="12"/>
                <w:szCs w:val="12"/>
                <w:color w:val="auto"/>
              </w:rPr>
            </w:pPr>
          </w:p>
        </w:tc>
      </w:tr>
      <w:tr>
        <w:trPr>
          <w:trHeight w:val="148"/>
        </w:trPr>
        <w:tc>
          <w:tcPr>
            <w:tcW w:w="42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Diluted</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410,340,418</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417,056,948</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4"/>
              </w:rPr>
              <w:t>417,056,948</w:t>
            </w:r>
          </w:p>
        </w:tc>
        <w:tc>
          <w:tcPr>
            <w:tcW w:w="30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363,992,775</w:t>
            </w: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416,277,840</w:t>
            </w: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416,277,840</w:t>
            </w:r>
          </w:p>
        </w:tc>
        <w:tc>
          <w:tcPr>
            <w:tcW w:w="120" w:type="dxa"/>
            <w:vAlign w:val="bottom"/>
            <w:shd w:val="clear" w:color="auto" w:fill="CFF0FC"/>
          </w:tcPr>
          <w:p>
            <w:pPr>
              <w:spacing w:after="0"/>
              <w:rPr>
                <w:sz w:val="12"/>
                <w:szCs w:val="12"/>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10</w:t>
      </w:r>
      <w:r>
        <w:rPr>
          <w:rFonts w:ascii="Arial" w:cs="Arial" w:eastAsia="Arial" w:hAnsi="Arial"/>
          <w:sz w:val="16"/>
          <w:szCs w:val="16"/>
          <w:color w:val="auto"/>
        </w:rPr>
        <w:t xml:space="preserve"> of </w:t>
      </w:r>
      <w:r>
        <w:rPr>
          <w:rFonts w:ascii="Arial" w:cs="Arial" w:eastAsia="Arial" w:hAnsi="Arial"/>
          <w:sz w:val="16"/>
          <w:szCs w:val="16"/>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LexinFintech Holdings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Comprehensive Income/(loss)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3720" w:type="dxa"/>
            <w:vAlign w:val="bottom"/>
            <w:gridSpan w:val="7"/>
          </w:tcPr>
          <w:p>
            <w:pPr>
              <w:jc w:val="center"/>
              <w:ind w:right="220"/>
              <w:spacing w:after="0"/>
              <w:rPr>
                <w:sz w:val="20"/>
                <w:szCs w:val="20"/>
                <w:color w:val="auto"/>
              </w:rPr>
            </w:pPr>
            <w:r>
              <w:rPr>
                <w:rFonts w:ascii="Arial" w:cs="Arial" w:eastAsia="Arial" w:hAnsi="Arial"/>
                <w:sz w:val="14"/>
                <w:szCs w:val="14"/>
                <w:b w:val="1"/>
                <w:bCs w:val="1"/>
                <w:color w:val="auto"/>
                <w:w w:val="93"/>
              </w:rPr>
              <w:t>For the Three Months Ended June 30,</w:t>
            </w:r>
          </w:p>
        </w:tc>
        <w:tc>
          <w:tcPr>
            <w:tcW w:w="2760" w:type="dxa"/>
            <w:vAlign w:val="bottom"/>
            <w:gridSpan w:val="5"/>
          </w:tcPr>
          <w:p>
            <w:pPr>
              <w:jc w:val="right"/>
              <w:spacing w:after="0"/>
              <w:rPr>
                <w:sz w:val="20"/>
                <w:szCs w:val="20"/>
                <w:color w:val="auto"/>
              </w:rPr>
            </w:pPr>
            <w:r>
              <w:rPr>
                <w:rFonts w:ascii="Arial" w:cs="Arial" w:eastAsia="Arial" w:hAnsi="Arial"/>
                <w:sz w:val="14"/>
                <w:szCs w:val="14"/>
                <w:b w:val="1"/>
                <w:bCs w:val="1"/>
                <w:color w:val="auto"/>
              </w:rPr>
              <w:t>For the Six Months Ended June 30,</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9"/>
        </w:trPr>
        <w:tc>
          <w:tcPr>
            <w:tcW w:w="40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Borders>
              <w:top w:val="single" w:sz="8" w:color="auto"/>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8"/>
                <w:szCs w:val="18"/>
                <w:color w:val="auto"/>
              </w:rPr>
            </w:pPr>
          </w:p>
        </w:tc>
        <w:tc>
          <w:tcPr>
            <w:tcW w:w="1460" w:type="dxa"/>
            <w:vAlign w:val="bottom"/>
            <w:tcBorders>
              <w:top w:val="single" w:sz="8" w:color="auto"/>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2021</w:t>
            </w:r>
          </w:p>
        </w:tc>
        <w:tc>
          <w:tcPr>
            <w:tcW w:w="860" w:type="dxa"/>
            <w:vAlign w:val="bottom"/>
            <w:tcBorders>
              <w:top w:val="single" w:sz="8" w:color="auto"/>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8"/>
                <w:szCs w:val="18"/>
                <w:color w:val="auto"/>
              </w:rPr>
            </w:pPr>
          </w:p>
        </w:tc>
        <w:tc>
          <w:tcPr>
            <w:tcW w:w="1540" w:type="dxa"/>
            <w:vAlign w:val="bottom"/>
            <w:tcBorders>
              <w:top w:val="single" w:sz="8" w:color="auto"/>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4040" w:type="dxa"/>
            <w:vAlign w:val="bottom"/>
          </w:tcPr>
          <w:p>
            <w:pPr>
              <w:spacing w:after="0"/>
              <w:rPr>
                <w:sz w:val="17"/>
                <w:szCs w:val="17"/>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RMB</w:t>
            </w:r>
          </w:p>
        </w:tc>
        <w:tc>
          <w:tcPr>
            <w:tcW w:w="14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rPr>
              <w:t>RMB</w:t>
            </w:r>
          </w:p>
        </w:tc>
        <w:tc>
          <w:tcPr>
            <w:tcW w:w="1060" w:type="dxa"/>
            <w:vAlign w:val="bottom"/>
            <w:gridSpan w:val="2"/>
          </w:tcPr>
          <w:p>
            <w:pPr>
              <w:ind w:left="160"/>
              <w:spacing w:after="0"/>
              <w:rPr>
                <w:sz w:val="20"/>
                <w:szCs w:val="20"/>
                <w:color w:val="auto"/>
              </w:rPr>
            </w:pPr>
            <w:r>
              <w:rPr>
                <w:rFonts w:ascii="Arial" w:cs="Arial" w:eastAsia="Arial" w:hAnsi="Arial"/>
                <w:sz w:val="14"/>
                <w:szCs w:val="14"/>
                <w:b w:val="1"/>
                <w:bCs w:val="1"/>
                <w:color w:val="auto"/>
              </w:rPr>
              <w:t>US$</w:t>
            </w:r>
          </w:p>
        </w:tc>
        <w:tc>
          <w:tcPr>
            <w:tcW w:w="12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RMB</w:t>
            </w:r>
          </w:p>
        </w:tc>
        <w:tc>
          <w:tcPr>
            <w:tcW w:w="1540" w:type="dxa"/>
            <w:vAlign w:val="bottom"/>
            <w:gridSpan w:val="3"/>
          </w:tcPr>
          <w:p>
            <w:pPr>
              <w:jc w:val="right"/>
              <w:ind w:right="840"/>
              <w:spacing w:after="0"/>
              <w:rPr>
                <w:sz w:val="20"/>
                <w:szCs w:val="20"/>
                <w:color w:val="auto"/>
              </w:rPr>
            </w:pPr>
            <w:r>
              <w:rPr>
                <w:rFonts w:ascii="Arial" w:cs="Arial" w:eastAsia="Arial" w:hAnsi="Arial"/>
                <w:sz w:val="14"/>
                <w:szCs w:val="14"/>
                <w:b w:val="1"/>
                <w:bCs w:val="1"/>
                <w:color w:val="auto"/>
              </w:rPr>
              <w:t>RMB</w:t>
            </w: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US$</w:t>
            </w:r>
          </w:p>
        </w:tc>
      </w:tr>
      <w:tr>
        <w:trPr>
          <w:trHeight w:val="216"/>
        </w:trPr>
        <w:tc>
          <w:tcPr>
            <w:tcW w:w="40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Net income/(loss)</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419,036</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786,662</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121,839</w:t>
            </w: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b w:val="1"/>
                <w:bCs w:val="1"/>
                <w:color w:val="auto"/>
              </w:rPr>
              <w:t>(259,391)</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1,497,743</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231,972</w:t>
            </w:r>
          </w:p>
        </w:tc>
        <w:tc>
          <w:tcPr>
            <w:tcW w:w="100" w:type="dxa"/>
            <w:vAlign w:val="bottom"/>
            <w:shd w:val="clear" w:color="auto" w:fill="CFF0FC"/>
          </w:tcPr>
          <w:p>
            <w:pPr>
              <w:spacing w:after="0"/>
              <w:rPr>
                <w:sz w:val="18"/>
                <w:szCs w:val="18"/>
                <w:color w:val="auto"/>
              </w:rPr>
            </w:pPr>
          </w:p>
        </w:tc>
      </w:tr>
      <w:tr>
        <w:trPr>
          <w:trHeight w:val="213"/>
        </w:trPr>
        <w:tc>
          <w:tcPr>
            <w:tcW w:w="4040" w:type="dxa"/>
            <w:vAlign w:val="bottom"/>
          </w:tcPr>
          <w:p>
            <w:pPr>
              <w:spacing w:after="0"/>
              <w:rPr>
                <w:sz w:val="20"/>
                <w:szCs w:val="20"/>
                <w:color w:val="auto"/>
              </w:rPr>
            </w:pPr>
            <w:r>
              <w:rPr>
                <w:rFonts w:ascii="Arial" w:cs="Arial" w:eastAsia="Arial" w:hAnsi="Arial"/>
                <w:sz w:val="16"/>
                <w:szCs w:val="16"/>
                <w:b w:val="1"/>
                <w:bCs w:val="1"/>
                <w:color w:val="auto"/>
              </w:rPr>
              <w:t>Other comprehensive income/(loss)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4040" w:type="dxa"/>
            <w:vAlign w:val="bottom"/>
            <w:shd w:val="clear" w:color="auto" w:fill="CFF0FC"/>
          </w:tcPr>
          <w:p>
            <w:pPr>
              <w:ind w:left="260"/>
              <w:spacing w:after="0"/>
              <w:rPr>
                <w:sz w:val="20"/>
                <w:szCs w:val="20"/>
                <w:color w:val="auto"/>
              </w:rPr>
            </w:pPr>
            <w:r>
              <w:rPr>
                <w:rFonts w:ascii="Arial" w:cs="Arial" w:eastAsia="Arial" w:hAnsi="Arial"/>
                <w:sz w:val="16"/>
                <w:szCs w:val="16"/>
                <w:color w:val="auto"/>
                <w:w w:val="99"/>
              </w:rPr>
              <w:t>Foreign currency translation adjustment, net of nil tax</w:t>
            </w: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(908)</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5,304</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824</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399</w:t>
            </w: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3,233</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501</w:t>
            </w:r>
          </w:p>
        </w:tc>
        <w:tc>
          <w:tcPr>
            <w:tcW w:w="100" w:type="dxa"/>
            <w:vAlign w:val="bottom"/>
            <w:shd w:val="clear" w:color="auto" w:fill="CFF0FC"/>
          </w:tcPr>
          <w:p>
            <w:pPr>
              <w:spacing w:after="0"/>
              <w:rPr>
                <w:sz w:val="19"/>
                <w:szCs w:val="19"/>
                <w:color w:val="auto"/>
              </w:rPr>
            </w:pPr>
          </w:p>
        </w:tc>
      </w:tr>
      <w:tr>
        <w:trPr>
          <w:trHeight w:val="207"/>
        </w:trPr>
        <w:tc>
          <w:tcPr>
            <w:tcW w:w="404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Total comprehensive income/(loss)</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418,128</w:t>
            </w:r>
          </w:p>
        </w:tc>
        <w:tc>
          <w:tcPr>
            <w:tcW w:w="120" w:type="dxa"/>
            <w:vAlign w:val="bottom"/>
            <w:tcBorders>
              <w:bottom w:val="single" w:sz="8" w:color="CFF0FC"/>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791,966</w:t>
            </w:r>
          </w:p>
        </w:tc>
        <w:tc>
          <w:tcPr>
            <w:tcW w:w="100" w:type="dxa"/>
            <w:vAlign w:val="bottom"/>
            <w:tcBorders>
              <w:bottom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122,663</w:t>
            </w:r>
          </w:p>
        </w:tc>
        <w:tc>
          <w:tcPr>
            <w:tcW w:w="200" w:type="dxa"/>
            <w:vAlign w:val="bottom"/>
            <w:tcBorders>
              <w:bottom w:val="single" w:sz="8" w:color="CFF0FC"/>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(258,992)</w:t>
            </w:r>
          </w:p>
        </w:tc>
        <w:tc>
          <w:tcPr>
            <w:tcW w:w="120" w:type="dxa"/>
            <w:vAlign w:val="bottom"/>
            <w:tcBorders>
              <w:bottom w:val="single" w:sz="8" w:color="CFF0FC"/>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1,500,976</w:t>
            </w:r>
          </w:p>
        </w:tc>
        <w:tc>
          <w:tcPr>
            <w:tcW w:w="100" w:type="dxa"/>
            <w:vAlign w:val="bottom"/>
            <w:tcBorders>
              <w:bottom w:val="single" w:sz="8" w:color="CFF0FC"/>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232,473</w:t>
            </w:r>
          </w:p>
        </w:tc>
        <w:tc>
          <w:tcPr>
            <w:tcW w:w="100" w:type="dxa"/>
            <w:vAlign w:val="bottom"/>
            <w:tcBorders>
              <w:bottom w:val="single" w:sz="8" w:color="CFF0FC"/>
            </w:tcBorders>
          </w:tcPr>
          <w:p>
            <w:pPr>
              <w:spacing w:after="0"/>
              <w:rPr>
                <w:sz w:val="17"/>
                <w:szCs w:val="17"/>
                <w:color w:val="auto"/>
              </w:rPr>
            </w:pPr>
          </w:p>
        </w:tc>
      </w:tr>
      <w:tr>
        <w:trPr>
          <w:trHeight w:val="212"/>
        </w:trPr>
        <w:tc>
          <w:tcPr>
            <w:tcW w:w="4040" w:type="dxa"/>
            <w:vAlign w:val="bottom"/>
            <w:shd w:val="clear" w:color="auto" w:fill="CFF0FC"/>
          </w:tcPr>
          <w:p>
            <w:pPr>
              <w:ind w:left="260"/>
              <w:spacing w:after="0"/>
              <w:rPr>
                <w:sz w:val="20"/>
                <w:szCs w:val="20"/>
                <w:color w:val="auto"/>
              </w:rPr>
            </w:pPr>
            <w:r>
              <w:rPr>
                <w:rFonts w:ascii="Arial" w:cs="Arial" w:eastAsia="Arial" w:hAnsi="Arial"/>
                <w:sz w:val="16"/>
                <w:szCs w:val="16"/>
                <w:color w:val="auto"/>
                <w:w w:val="94"/>
              </w:rPr>
              <w:t>Less: Net income attributable to non-controlling interests</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505</w:t>
            </w:r>
          </w:p>
        </w:tc>
        <w:tc>
          <w:tcPr>
            <w:tcW w:w="10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78</w:t>
            </w:r>
          </w:p>
        </w:tc>
        <w:tc>
          <w:tcPr>
            <w:tcW w:w="200" w:type="dxa"/>
            <w:vAlign w:val="bottom"/>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FF0FC"/>
          </w:tcPr>
          <w:p>
            <w:pPr>
              <w:spacing w:after="0"/>
              <w:rPr>
                <w:sz w:val="18"/>
                <w:szCs w:val="18"/>
                <w:color w:val="auto"/>
              </w:rPr>
            </w:pPr>
          </w:p>
        </w:tc>
      </w:tr>
      <w:tr>
        <w:trPr>
          <w:trHeight w:val="196"/>
        </w:trPr>
        <w:tc>
          <w:tcPr>
            <w:tcW w:w="4040" w:type="dxa"/>
            <w:vAlign w:val="bottom"/>
          </w:tcPr>
          <w:p>
            <w:pPr>
              <w:spacing w:after="0"/>
              <w:rPr>
                <w:sz w:val="20"/>
                <w:szCs w:val="20"/>
                <w:color w:val="auto"/>
              </w:rPr>
            </w:pPr>
            <w:r>
              <w:rPr>
                <w:rFonts w:ascii="Arial" w:cs="Arial" w:eastAsia="Arial" w:hAnsi="Arial"/>
                <w:sz w:val="16"/>
                <w:szCs w:val="16"/>
                <w:b w:val="1"/>
                <w:bCs w:val="1"/>
                <w:color w:val="auto"/>
              </w:rPr>
              <w:t>Total comprehensive income/(loss) attributable to</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4040" w:type="dxa"/>
            <w:vAlign w:val="bottom"/>
          </w:tcPr>
          <w:p>
            <w:pPr>
              <w:spacing w:after="0"/>
              <w:rPr>
                <w:sz w:val="20"/>
                <w:szCs w:val="20"/>
                <w:color w:val="auto"/>
              </w:rPr>
            </w:pPr>
            <w:r>
              <w:rPr>
                <w:rFonts w:ascii="Arial" w:cs="Arial" w:eastAsia="Arial" w:hAnsi="Arial"/>
                <w:sz w:val="16"/>
                <w:szCs w:val="16"/>
                <w:b w:val="1"/>
                <w:bCs w:val="1"/>
                <w:color w:val="auto"/>
              </w:rPr>
              <w:t>ordinary shareholders of the Company</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418,128</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791,461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122,585</w:t>
            </w:r>
          </w:p>
        </w:tc>
        <w:tc>
          <w:tcPr>
            <w:tcW w:w="2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(258,992)</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1,500,929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232,466</w:t>
            </w:r>
          </w:p>
        </w:tc>
        <w:tc>
          <w:tcPr>
            <w:tcW w:w="100" w:type="dxa"/>
            <w:vAlign w:val="bottom"/>
          </w:tcPr>
          <w:p>
            <w:pPr>
              <w:spacing w:after="0"/>
              <w:rPr>
                <w:sz w:val="18"/>
                <w:szCs w:val="18"/>
                <w:color w:val="auto"/>
              </w:rPr>
            </w:pPr>
          </w:p>
        </w:tc>
      </w:tr>
      <w:tr>
        <w:trPr>
          <w:trHeight w:val="20"/>
        </w:trPr>
        <w:tc>
          <w:tcPr>
            <w:tcW w:w="40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11</w:t>
      </w:r>
      <w:r>
        <w:rPr>
          <w:rFonts w:ascii="Arial" w:cs="Arial" w:eastAsia="Arial" w:hAnsi="Arial"/>
          <w:sz w:val="16"/>
          <w:szCs w:val="16"/>
          <w:color w:val="auto"/>
        </w:rPr>
        <w:t xml:space="preserve"> of </w:t>
      </w:r>
      <w:r>
        <w:rPr>
          <w:rFonts w:ascii="Arial" w:cs="Arial" w:eastAsia="Arial" w:hAnsi="Arial"/>
          <w:sz w:val="16"/>
          <w:szCs w:val="16"/>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LexinFintech Holdings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Reconciliations of GAAP and Non-GAAP Results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9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(In thousands, except for share and per share data)</w:t>
            </w:r>
          </w:p>
        </w:tc>
        <w:tc>
          <w:tcPr>
            <w:tcW w:w="3460" w:type="dxa"/>
            <w:vAlign w:val="bottom"/>
            <w:tcBorders>
              <w:top w:val="single" w:sz="8" w:color="auto"/>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4"/>
              </w:rPr>
              <w:t>For the Three Months Ended June 30,</w:t>
            </w:r>
          </w:p>
        </w:tc>
        <w:tc>
          <w:tcPr>
            <w:tcW w:w="200" w:type="dxa"/>
            <w:vAlign w:val="bottom"/>
          </w:tcPr>
          <w:p>
            <w:pPr>
              <w:spacing w:after="0"/>
              <w:rPr>
                <w:sz w:val="15"/>
                <w:szCs w:val="15"/>
                <w:color w:val="auto"/>
              </w:rPr>
            </w:pPr>
          </w:p>
        </w:tc>
        <w:tc>
          <w:tcPr>
            <w:tcW w:w="3500" w:type="dxa"/>
            <w:vAlign w:val="bottom"/>
            <w:tcBorders>
              <w:top w:val="single" w:sz="8" w:color="auto"/>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For the Six Months Ended June 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980" w:type="dxa"/>
            <w:vAlign w:val="bottom"/>
            <w:gridSpan w:val="2"/>
            <w:vMerge w:val="continue"/>
          </w:tcPr>
          <w:p>
            <w:pPr>
              <w:spacing w:after="0"/>
              <w:rPr>
                <w:sz w:val="18"/>
                <w:szCs w:val="18"/>
                <w:color w:val="auto"/>
              </w:rPr>
            </w:pPr>
          </w:p>
        </w:tc>
        <w:tc>
          <w:tcPr>
            <w:tcW w:w="10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c>
          <w:tcPr>
            <w:tcW w:w="13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2021</w:t>
            </w:r>
          </w:p>
        </w:tc>
        <w:tc>
          <w:tcPr>
            <w:tcW w:w="9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8"/>
                <w:szCs w:val="18"/>
                <w:color w:val="auto"/>
              </w:rPr>
            </w:pPr>
          </w:p>
        </w:tc>
        <w:tc>
          <w:tcPr>
            <w:tcW w:w="13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2021</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98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Reconciliation of Adjusted net income/(loss)</w:t>
            </w:r>
          </w:p>
        </w:tc>
        <w:tc>
          <w:tcPr>
            <w:tcW w:w="11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RMB</w:t>
            </w:r>
          </w:p>
        </w:tc>
        <w:tc>
          <w:tcPr>
            <w:tcW w:w="13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RMB</w:t>
            </w:r>
          </w:p>
        </w:tc>
        <w:tc>
          <w:tcPr>
            <w:tcW w:w="1120" w:type="dxa"/>
            <w:vAlign w:val="bottom"/>
            <w:gridSpan w:val="2"/>
          </w:tcPr>
          <w:p>
            <w:pPr>
              <w:ind w:left="240"/>
              <w:spacing w:after="0"/>
              <w:rPr>
                <w:sz w:val="20"/>
                <w:szCs w:val="20"/>
                <w:color w:val="auto"/>
              </w:rPr>
            </w:pPr>
            <w:r>
              <w:rPr>
                <w:rFonts w:ascii="Arial" w:cs="Arial" w:eastAsia="Arial" w:hAnsi="Arial"/>
                <w:sz w:val="14"/>
                <w:szCs w:val="14"/>
                <w:b w:val="1"/>
                <w:bCs w:val="1"/>
                <w:color w:val="auto"/>
              </w:rPr>
              <w:t>US$</w:t>
            </w:r>
          </w:p>
        </w:tc>
        <w:tc>
          <w:tcPr>
            <w:tcW w:w="12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RMB</w:t>
            </w:r>
          </w:p>
        </w:tc>
        <w:tc>
          <w:tcPr>
            <w:tcW w:w="13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RMB</w:t>
            </w:r>
          </w:p>
        </w:tc>
        <w:tc>
          <w:tcPr>
            <w:tcW w:w="1020" w:type="dxa"/>
            <w:vAlign w:val="bottom"/>
            <w:gridSpan w:val="2"/>
          </w:tcPr>
          <w:p>
            <w:pPr>
              <w:ind w:left="240"/>
              <w:spacing w:after="0"/>
              <w:rPr>
                <w:sz w:val="20"/>
                <w:szCs w:val="20"/>
                <w:color w:val="auto"/>
              </w:rPr>
            </w:pPr>
            <w:r>
              <w:rPr>
                <w:rFonts w:ascii="Arial" w:cs="Arial" w:eastAsia="Arial" w:hAnsi="Arial"/>
                <w:sz w:val="14"/>
                <w:szCs w:val="14"/>
                <w:b w:val="1"/>
                <w:bCs w:val="1"/>
                <w:color w:val="auto"/>
              </w:rPr>
              <w:t>US$</w:t>
            </w:r>
          </w:p>
        </w:tc>
        <w:tc>
          <w:tcPr>
            <w:tcW w:w="0" w:type="dxa"/>
            <w:vAlign w:val="bottom"/>
          </w:tcPr>
          <w:p>
            <w:pPr>
              <w:spacing w:after="0"/>
              <w:rPr>
                <w:sz w:val="1"/>
                <w:szCs w:val="1"/>
                <w:color w:val="auto"/>
              </w:rPr>
            </w:pPr>
          </w:p>
        </w:tc>
      </w:tr>
      <w:tr>
        <w:trPr>
          <w:trHeight w:val="187"/>
        </w:trPr>
        <w:tc>
          <w:tcPr>
            <w:tcW w:w="3980" w:type="dxa"/>
            <w:vAlign w:val="bottom"/>
            <w:gridSpan w:val="2"/>
            <w:vMerge w:val="continue"/>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980" w:type="dxa"/>
            <w:vAlign w:val="bottom"/>
            <w:gridSpan w:val="2"/>
          </w:tcPr>
          <w:p>
            <w:pPr>
              <w:ind w:left="140"/>
              <w:spacing w:after="0"/>
              <w:rPr>
                <w:sz w:val="20"/>
                <w:szCs w:val="20"/>
                <w:color w:val="auto"/>
              </w:rPr>
            </w:pPr>
            <w:r>
              <w:rPr>
                <w:rFonts w:ascii="Arial" w:cs="Arial" w:eastAsia="Arial" w:hAnsi="Arial"/>
                <w:sz w:val="16"/>
                <w:szCs w:val="16"/>
                <w:b w:val="1"/>
                <w:bCs w:val="1"/>
                <w:color w:val="auto"/>
                <w:w w:val="94"/>
              </w:rPr>
              <w:t>attributable to ordinary shareholders of the Company</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gridSpan w:val="2"/>
          </w:tcPr>
          <w:p>
            <w:pPr>
              <w:ind w:left="140"/>
              <w:spacing w:after="0"/>
              <w:rPr>
                <w:sz w:val="20"/>
                <w:szCs w:val="20"/>
                <w:color w:val="auto"/>
              </w:rPr>
            </w:pPr>
            <w:r>
              <w:rPr>
                <w:rFonts w:ascii="Arial" w:cs="Arial" w:eastAsia="Arial" w:hAnsi="Arial"/>
                <w:sz w:val="16"/>
                <w:szCs w:val="16"/>
                <w:b w:val="1"/>
                <w:bCs w:val="1"/>
                <w:color w:val="auto"/>
              </w:rPr>
              <w:t>to Net income/(loss) attributable to ordinary</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980" w:type="dxa"/>
            <w:vAlign w:val="bottom"/>
            <w:gridSpan w:val="2"/>
          </w:tcPr>
          <w:p>
            <w:pPr>
              <w:ind w:left="140"/>
              <w:spacing w:after="0"/>
              <w:rPr>
                <w:sz w:val="20"/>
                <w:szCs w:val="20"/>
                <w:color w:val="auto"/>
              </w:rPr>
            </w:pPr>
            <w:r>
              <w:rPr>
                <w:rFonts w:ascii="Arial" w:cs="Arial" w:eastAsia="Arial" w:hAnsi="Arial"/>
                <w:sz w:val="16"/>
                <w:szCs w:val="16"/>
                <w:b w:val="1"/>
                <w:bCs w:val="1"/>
                <w:color w:val="auto"/>
              </w:rPr>
              <w:t>shareholders of the Company</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8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w w:val="94"/>
              </w:rPr>
              <w:t>Net income/(loss) attributable to ordinary shareholders of</w:t>
            </w: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98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the Company</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419,036</w:t>
            </w: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786,157</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121,761</w:t>
            </w:r>
          </w:p>
        </w:tc>
        <w:tc>
          <w:tcPr>
            <w:tcW w:w="2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(259,391)</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1,497,696</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231,965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80" w:type="dxa"/>
            <w:vAlign w:val="bottom"/>
            <w:gridSpan w:val="2"/>
          </w:tcPr>
          <w:p>
            <w:pPr>
              <w:ind w:left="140"/>
              <w:spacing w:after="0"/>
              <w:rPr>
                <w:sz w:val="20"/>
                <w:szCs w:val="20"/>
                <w:color w:val="auto"/>
              </w:rPr>
            </w:pPr>
            <w:r>
              <w:rPr>
                <w:rFonts w:ascii="Arial" w:cs="Arial" w:eastAsia="Arial" w:hAnsi="Arial"/>
                <w:sz w:val="16"/>
                <w:szCs w:val="16"/>
                <w:color w:val="auto"/>
              </w:rPr>
              <w:t>Add: Share-based compensation expenses</w:t>
            </w:r>
          </w:p>
        </w:tc>
        <w:tc>
          <w:tcPr>
            <w:tcW w:w="1080" w:type="dxa"/>
            <w:vAlign w:val="bottom"/>
          </w:tcPr>
          <w:p>
            <w:pPr>
              <w:jc w:val="right"/>
              <w:spacing w:after="0"/>
              <w:rPr>
                <w:sz w:val="20"/>
                <w:szCs w:val="20"/>
                <w:color w:val="auto"/>
              </w:rPr>
            </w:pPr>
            <w:r>
              <w:rPr>
                <w:rFonts w:ascii="Arial" w:cs="Arial" w:eastAsia="Arial" w:hAnsi="Arial"/>
                <w:sz w:val="16"/>
                <w:szCs w:val="16"/>
                <w:color w:val="auto"/>
              </w:rPr>
              <w:t>48,265</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43,969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6,810</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102,999</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92,482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14,323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8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Interest expense associated with convertible notes</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12,206</w:t>
            </w: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11,166</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1,729</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24,119</w:t>
            </w: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22,300</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80" w:type="dxa"/>
            <w:vAlign w:val="bottom"/>
            <w:gridSpan w:val="2"/>
          </w:tcPr>
          <w:p>
            <w:pPr>
              <w:ind w:left="140"/>
              <w:spacing w:after="0"/>
              <w:rPr>
                <w:sz w:val="20"/>
                <w:szCs w:val="20"/>
                <w:color w:val="auto"/>
              </w:rPr>
            </w:pPr>
            <w:r>
              <w:rPr>
                <w:rFonts w:ascii="Arial" w:cs="Arial" w:eastAsia="Arial" w:hAnsi="Arial"/>
                <w:sz w:val="16"/>
                <w:szCs w:val="16"/>
                <w:color w:val="auto"/>
              </w:rPr>
              <w:t>Investment (income)/loss</w:t>
            </w:r>
          </w:p>
        </w:tc>
        <w:tc>
          <w:tcPr>
            <w:tcW w:w="1180" w:type="dxa"/>
            <w:vAlign w:val="bottom"/>
            <w:gridSpan w:val="2"/>
          </w:tcPr>
          <w:p>
            <w:pPr>
              <w:jc w:val="right"/>
              <w:ind w:right="40"/>
              <w:spacing w:after="0"/>
              <w:rPr>
                <w:sz w:val="20"/>
                <w:szCs w:val="20"/>
                <w:color w:val="auto"/>
              </w:rPr>
            </w:pPr>
            <w:r>
              <w:rPr>
                <w:rFonts w:ascii="Arial" w:cs="Arial" w:eastAsia="Arial" w:hAnsi="Arial"/>
                <w:sz w:val="16"/>
                <w:szCs w:val="16"/>
                <w:color w:val="auto"/>
              </w:rPr>
              <w:t>(26,880)</w:t>
            </w:r>
          </w:p>
        </w:tc>
        <w:tc>
          <w:tcPr>
            <w:tcW w:w="1080" w:type="dxa"/>
            <w:vAlign w:val="bottom"/>
          </w:tcPr>
          <w:p>
            <w:pPr>
              <w:jc w:val="right"/>
              <w:spacing w:after="0"/>
              <w:rPr>
                <w:sz w:val="20"/>
                <w:szCs w:val="20"/>
                <w:color w:val="auto"/>
              </w:rPr>
            </w:pPr>
            <w:r>
              <w:rPr>
                <w:rFonts w:ascii="Arial" w:cs="Arial" w:eastAsia="Arial" w:hAnsi="Arial"/>
                <w:sz w:val="16"/>
                <w:szCs w:val="16"/>
                <w:color w:val="auto"/>
              </w:rPr>
              <w:t>2,208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342</w:t>
            </w:r>
          </w:p>
        </w:tc>
        <w:tc>
          <w:tcPr>
            <w:tcW w:w="2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(10,614)</w:t>
            </w:r>
          </w:p>
        </w:tc>
        <w:tc>
          <w:tcPr>
            <w:tcW w:w="1100" w:type="dxa"/>
            <w:vAlign w:val="bottom"/>
          </w:tcPr>
          <w:p>
            <w:pPr>
              <w:jc w:val="right"/>
              <w:spacing w:after="0"/>
              <w:rPr>
                <w:sz w:val="20"/>
                <w:szCs w:val="20"/>
                <w:color w:val="auto"/>
              </w:rPr>
            </w:pPr>
            <w:r>
              <w:rPr>
                <w:rFonts w:ascii="Arial" w:cs="Arial" w:eastAsia="Arial" w:hAnsi="Arial"/>
                <w:sz w:val="16"/>
                <w:szCs w:val="16"/>
                <w:color w:val="auto"/>
              </w:rPr>
              <w:t>2,397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8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Tax effects on Non-GAAP adjustments(1)</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7,151</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1,108</w:t>
            </w:r>
          </w:p>
        </w:tc>
        <w:tc>
          <w:tcPr>
            <w:tcW w:w="20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7,151</w:t>
            </w: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980" w:type="dxa"/>
            <w:vAlign w:val="bottom"/>
            <w:gridSpan w:val="2"/>
          </w:tcPr>
          <w:p>
            <w:pPr>
              <w:ind w:left="140"/>
              <w:spacing w:after="0"/>
              <w:rPr>
                <w:sz w:val="20"/>
                <w:szCs w:val="20"/>
                <w:color w:val="auto"/>
              </w:rPr>
            </w:pPr>
            <w:r>
              <w:rPr>
                <w:rFonts w:ascii="Arial" w:cs="Arial" w:eastAsia="Arial" w:hAnsi="Arial"/>
                <w:sz w:val="16"/>
                <w:szCs w:val="16"/>
                <w:b w:val="1"/>
                <w:bCs w:val="1"/>
                <w:color w:val="auto"/>
                <w:w w:val="99"/>
              </w:rPr>
              <w:t>Adjusted net income/(loss) attributable to ordinary</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3980" w:type="dxa"/>
            <w:vAlign w:val="bottom"/>
            <w:gridSpan w:val="2"/>
          </w:tcPr>
          <w:p>
            <w:pPr>
              <w:ind w:left="140"/>
              <w:spacing w:after="0"/>
              <w:rPr>
                <w:sz w:val="20"/>
                <w:szCs w:val="20"/>
                <w:color w:val="auto"/>
              </w:rPr>
            </w:pPr>
            <w:r>
              <w:rPr>
                <w:rFonts w:ascii="Arial" w:cs="Arial" w:eastAsia="Arial" w:hAnsi="Arial"/>
                <w:sz w:val="16"/>
                <w:szCs w:val="16"/>
                <w:b w:val="1"/>
                <w:bCs w:val="1"/>
                <w:color w:val="auto"/>
              </w:rPr>
              <w:t>shareholders of the Company</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452,627</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850,652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131,750</w:t>
            </w:r>
          </w:p>
        </w:tc>
        <w:tc>
          <w:tcPr>
            <w:tcW w:w="200" w:type="dxa"/>
            <w:vAlign w:val="bottom"/>
          </w:tcPr>
          <w:p>
            <w:pPr>
              <w:spacing w:after="0"/>
              <w:rPr>
                <w:sz w:val="22"/>
                <w:szCs w:val="22"/>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(142,887)</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1,622,026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251,221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1740" w:type="dxa"/>
            <w:vAlign w:val="bottom"/>
            <w:tcBorders>
              <w:top w:val="single" w:sz="8" w:color="CFF0FC"/>
            </w:tcBorders>
            <w:shd w:val="clear" w:color="auto" w:fill="CFF0FC"/>
          </w:tcPr>
          <w:p>
            <w:pPr>
              <w:spacing w:after="0"/>
              <w:rPr>
                <w:sz w:val="17"/>
                <w:szCs w:val="17"/>
                <w:color w:val="auto"/>
              </w:rPr>
            </w:pPr>
          </w:p>
        </w:tc>
        <w:tc>
          <w:tcPr>
            <w:tcW w:w="2240" w:type="dxa"/>
            <w:vAlign w:val="bottom"/>
            <w:tcBorders>
              <w:top w:val="single" w:sz="8" w:color="CFF0FC"/>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980" w:type="dxa"/>
            <w:vAlign w:val="bottom"/>
            <w:gridSpan w:val="2"/>
          </w:tcPr>
          <w:p>
            <w:pPr>
              <w:ind w:left="140"/>
              <w:spacing w:after="0"/>
              <w:rPr>
                <w:sz w:val="20"/>
                <w:szCs w:val="20"/>
                <w:color w:val="auto"/>
              </w:rPr>
            </w:pPr>
            <w:r>
              <w:rPr>
                <w:rFonts w:ascii="Arial" w:cs="Arial" w:eastAsia="Arial" w:hAnsi="Arial"/>
                <w:sz w:val="16"/>
                <w:szCs w:val="16"/>
                <w:b w:val="1"/>
                <w:bCs w:val="1"/>
                <w:color w:val="auto"/>
              </w:rPr>
              <w:t>Adjusted net income/(loss) per ordinary share</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980" w:type="dxa"/>
            <w:vAlign w:val="bottom"/>
            <w:gridSpan w:val="2"/>
          </w:tcPr>
          <w:p>
            <w:pPr>
              <w:ind w:left="140"/>
              <w:spacing w:after="0"/>
              <w:rPr>
                <w:sz w:val="20"/>
                <w:szCs w:val="20"/>
                <w:color w:val="auto"/>
              </w:rPr>
            </w:pPr>
            <w:r>
              <w:rPr>
                <w:rFonts w:ascii="Arial" w:cs="Arial" w:eastAsia="Arial" w:hAnsi="Arial"/>
                <w:sz w:val="16"/>
                <w:szCs w:val="16"/>
                <w:b w:val="1"/>
                <w:bCs w:val="1"/>
                <w:color w:val="auto"/>
                <w:w w:val="94"/>
              </w:rPr>
              <w:t>attributable to ordinary shareholders of the Company</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8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Basic</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2.31</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0.36</w:t>
            </w: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(0.39)</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4.40</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80" w:type="dxa"/>
            <w:vAlign w:val="bottom"/>
            <w:gridSpan w:val="2"/>
          </w:tcPr>
          <w:p>
            <w:pPr>
              <w:ind w:left="140"/>
              <w:spacing w:after="0"/>
              <w:rPr>
                <w:sz w:val="20"/>
                <w:szCs w:val="20"/>
                <w:color w:val="auto"/>
              </w:rPr>
            </w:pPr>
            <w:r>
              <w:rPr>
                <w:rFonts w:ascii="Arial" w:cs="Arial" w:eastAsia="Arial" w:hAnsi="Arial"/>
                <w:sz w:val="16"/>
                <w:szCs w:val="16"/>
                <w:color w:val="auto"/>
              </w:rPr>
              <w:t>Diluted</w:t>
            </w:r>
          </w:p>
        </w:tc>
        <w:tc>
          <w:tcPr>
            <w:tcW w:w="1080" w:type="dxa"/>
            <w:vAlign w:val="bottom"/>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0.32</w:t>
            </w:r>
          </w:p>
        </w:tc>
        <w:tc>
          <w:tcPr>
            <w:tcW w:w="2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(0.39)</w:t>
            </w:r>
          </w:p>
        </w:tc>
        <w:tc>
          <w:tcPr>
            <w:tcW w:w="1100" w:type="dxa"/>
            <w:vAlign w:val="bottom"/>
          </w:tcPr>
          <w:p>
            <w:pPr>
              <w:jc w:val="right"/>
              <w:spacing w:after="0"/>
              <w:rPr>
                <w:sz w:val="20"/>
                <w:szCs w:val="20"/>
                <w:color w:val="auto"/>
              </w:rPr>
            </w:pPr>
            <w:r>
              <w:rPr>
                <w:rFonts w:ascii="Arial" w:cs="Arial" w:eastAsia="Arial" w:hAnsi="Arial"/>
                <w:sz w:val="16"/>
                <w:szCs w:val="16"/>
                <w:color w:val="auto"/>
              </w:rPr>
              <w:t>3.90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740" w:type="dxa"/>
            <w:vAlign w:val="bottom"/>
            <w:shd w:val="clear" w:color="auto" w:fill="CFF0FC"/>
          </w:tcPr>
          <w:p>
            <w:pPr>
              <w:spacing w:after="0"/>
              <w:rPr>
                <w:sz w:val="19"/>
                <w:szCs w:val="19"/>
                <w:color w:val="auto"/>
              </w:rPr>
            </w:pPr>
          </w:p>
        </w:tc>
        <w:tc>
          <w:tcPr>
            <w:tcW w:w="2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980" w:type="dxa"/>
            <w:vAlign w:val="bottom"/>
            <w:gridSpan w:val="2"/>
          </w:tcPr>
          <w:p>
            <w:pPr>
              <w:ind w:left="140"/>
              <w:spacing w:after="0"/>
              <w:rPr>
                <w:sz w:val="20"/>
                <w:szCs w:val="20"/>
                <w:color w:val="auto"/>
              </w:rPr>
            </w:pPr>
            <w:r>
              <w:rPr>
                <w:rFonts w:ascii="Arial" w:cs="Arial" w:eastAsia="Arial" w:hAnsi="Arial"/>
                <w:sz w:val="16"/>
                <w:szCs w:val="16"/>
                <w:b w:val="1"/>
                <w:bCs w:val="1"/>
                <w:color w:val="auto"/>
                <w:w w:val="99"/>
              </w:rPr>
              <w:t>Adjusted net income/(loss) per ADS attributable to</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980" w:type="dxa"/>
            <w:vAlign w:val="bottom"/>
            <w:gridSpan w:val="2"/>
          </w:tcPr>
          <w:p>
            <w:pPr>
              <w:ind w:left="140"/>
              <w:spacing w:after="0"/>
              <w:rPr>
                <w:sz w:val="20"/>
                <w:szCs w:val="20"/>
                <w:color w:val="auto"/>
              </w:rPr>
            </w:pPr>
            <w:r>
              <w:rPr>
                <w:rFonts w:ascii="Arial" w:cs="Arial" w:eastAsia="Arial" w:hAnsi="Arial"/>
                <w:sz w:val="16"/>
                <w:szCs w:val="16"/>
                <w:b w:val="1"/>
                <w:bCs w:val="1"/>
                <w:color w:val="auto"/>
              </w:rPr>
              <w:t>ordinary shareholders of the Company</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8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Basic</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2.48</w:t>
            </w: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4.62</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0.72</w:t>
            </w: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(0.79)</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8.81</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80" w:type="dxa"/>
            <w:vAlign w:val="bottom"/>
            <w:gridSpan w:val="2"/>
          </w:tcPr>
          <w:p>
            <w:pPr>
              <w:ind w:left="140"/>
              <w:spacing w:after="0"/>
              <w:rPr>
                <w:sz w:val="20"/>
                <w:szCs w:val="20"/>
                <w:color w:val="auto"/>
              </w:rPr>
            </w:pPr>
            <w:r>
              <w:rPr>
                <w:rFonts w:ascii="Arial" w:cs="Arial" w:eastAsia="Arial" w:hAnsi="Arial"/>
                <w:sz w:val="16"/>
                <w:szCs w:val="16"/>
                <w:color w:val="auto"/>
              </w:rPr>
              <w:t>Diluted</w:t>
            </w:r>
          </w:p>
        </w:tc>
        <w:tc>
          <w:tcPr>
            <w:tcW w:w="1080" w:type="dxa"/>
            <w:vAlign w:val="bottom"/>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4.08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0.63</w:t>
            </w:r>
          </w:p>
        </w:tc>
        <w:tc>
          <w:tcPr>
            <w:tcW w:w="2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(0.79)</w:t>
            </w:r>
          </w:p>
        </w:tc>
        <w:tc>
          <w:tcPr>
            <w:tcW w:w="1100" w:type="dxa"/>
            <w:vAlign w:val="bottom"/>
          </w:tcPr>
          <w:p>
            <w:pPr>
              <w:jc w:val="right"/>
              <w:spacing w:after="0"/>
              <w:rPr>
                <w:sz w:val="20"/>
                <w:szCs w:val="20"/>
                <w:color w:val="auto"/>
              </w:rPr>
            </w:pPr>
            <w:r>
              <w:rPr>
                <w:rFonts w:ascii="Arial" w:cs="Arial" w:eastAsia="Arial" w:hAnsi="Arial"/>
                <w:sz w:val="16"/>
                <w:szCs w:val="16"/>
                <w:color w:val="auto"/>
              </w:rPr>
              <w:t>7.79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740" w:type="dxa"/>
            <w:vAlign w:val="bottom"/>
            <w:shd w:val="clear" w:color="auto" w:fill="CFF0FC"/>
          </w:tcPr>
          <w:p>
            <w:pPr>
              <w:spacing w:after="0"/>
              <w:rPr>
                <w:sz w:val="19"/>
                <w:szCs w:val="19"/>
                <w:color w:val="auto"/>
              </w:rPr>
            </w:pPr>
          </w:p>
        </w:tc>
        <w:tc>
          <w:tcPr>
            <w:tcW w:w="2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980" w:type="dxa"/>
            <w:vAlign w:val="bottom"/>
            <w:gridSpan w:val="2"/>
          </w:tcPr>
          <w:p>
            <w:pPr>
              <w:ind w:left="140"/>
              <w:spacing w:after="0"/>
              <w:rPr>
                <w:sz w:val="20"/>
                <w:szCs w:val="20"/>
                <w:color w:val="auto"/>
              </w:rPr>
            </w:pPr>
            <w:r>
              <w:rPr>
                <w:rFonts w:ascii="Arial" w:cs="Arial" w:eastAsia="Arial" w:hAnsi="Arial"/>
                <w:sz w:val="16"/>
                <w:szCs w:val="16"/>
                <w:b w:val="1"/>
                <w:bCs w:val="1"/>
                <w:color w:val="auto"/>
              </w:rPr>
              <w:t>Weighted average number of ordinary shares</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980" w:type="dxa"/>
            <w:vAlign w:val="bottom"/>
            <w:gridSpan w:val="2"/>
          </w:tcPr>
          <w:p>
            <w:pPr>
              <w:ind w:left="140"/>
              <w:spacing w:after="0"/>
              <w:rPr>
                <w:sz w:val="20"/>
                <w:szCs w:val="20"/>
                <w:color w:val="auto"/>
              </w:rPr>
            </w:pPr>
            <w:r>
              <w:rPr>
                <w:rFonts w:ascii="Arial" w:cs="Arial" w:eastAsia="Arial" w:hAnsi="Arial"/>
                <w:sz w:val="16"/>
                <w:szCs w:val="16"/>
                <w:b w:val="1"/>
                <w:bCs w:val="1"/>
                <w:color w:val="auto"/>
              </w:rPr>
              <w:t>outstanding</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8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Basic</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364,483,393</w:t>
            </w: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368,245,622</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368,245,622</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363,992,775</w:t>
            </w: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368,257,243</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368,257,243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80" w:type="dxa"/>
            <w:vAlign w:val="bottom"/>
            <w:gridSpan w:val="2"/>
          </w:tcPr>
          <w:p>
            <w:pPr>
              <w:ind w:left="140"/>
              <w:spacing w:after="0"/>
              <w:rPr>
                <w:sz w:val="20"/>
                <w:szCs w:val="20"/>
                <w:color w:val="auto"/>
              </w:rPr>
            </w:pPr>
            <w:r>
              <w:rPr>
                <w:rFonts w:ascii="Arial" w:cs="Arial" w:eastAsia="Arial" w:hAnsi="Arial"/>
                <w:sz w:val="16"/>
                <w:szCs w:val="16"/>
                <w:color w:val="auto"/>
              </w:rPr>
              <w:t>Diluted</w:t>
            </w:r>
          </w:p>
        </w:tc>
        <w:tc>
          <w:tcPr>
            <w:tcW w:w="1080" w:type="dxa"/>
            <w:vAlign w:val="bottom"/>
          </w:tcPr>
          <w:p>
            <w:pPr>
              <w:jc w:val="right"/>
              <w:spacing w:after="0"/>
              <w:rPr>
                <w:sz w:val="20"/>
                <w:szCs w:val="20"/>
                <w:color w:val="auto"/>
              </w:rPr>
            </w:pPr>
            <w:r>
              <w:rPr>
                <w:rFonts w:ascii="Arial" w:cs="Arial" w:eastAsia="Arial" w:hAnsi="Arial"/>
                <w:sz w:val="16"/>
                <w:szCs w:val="16"/>
                <w:color w:val="auto"/>
              </w:rPr>
              <w:t>410,340,418</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417,056,948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w w:val="98"/>
              </w:rPr>
              <w:t>417,056,948</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363,992,775</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416,277,840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w w:val="98"/>
              </w:rPr>
              <w:t>416,277,840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1740" w:type="dxa"/>
            <w:vAlign w:val="bottom"/>
            <w:tcBorders>
              <w:bottom w:val="single" w:sz="8" w:color="auto"/>
            </w:tcBorders>
          </w:tcPr>
          <w:p>
            <w:pPr>
              <w:spacing w:after="0"/>
              <w:rPr>
                <w:sz w:val="12"/>
                <w:szCs w:val="12"/>
                <w:color w:val="auto"/>
              </w:rPr>
            </w:pPr>
          </w:p>
        </w:tc>
        <w:tc>
          <w:tcPr>
            <w:tcW w:w="2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40" w:hanging="432"/>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exclude the tax effects related to the investment (income)/loss.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12</w:t>
      </w:r>
      <w:r>
        <w:rPr>
          <w:rFonts w:ascii="Arial" w:cs="Arial" w:eastAsia="Arial" w:hAnsi="Arial"/>
          <w:sz w:val="16"/>
          <w:szCs w:val="16"/>
          <w:color w:val="auto"/>
        </w:rPr>
        <w:t xml:space="preserve"> of </w:t>
      </w:r>
      <w:r>
        <w:rPr>
          <w:rFonts w:ascii="Arial" w:cs="Arial" w:eastAsia="Arial" w:hAnsi="Arial"/>
          <w:sz w:val="16"/>
          <w:szCs w:val="16"/>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748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LexinFintech Holdings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Reconciliations of GAAP and Non-GAAP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142875</wp:posOffset>
            </wp:positionV>
            <wp:extent cx="44659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465955" cy="8255"/>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80" w:type="dxa"/>
            <w:vAlign w:val="bottom"/>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3440" w:type="dxa"/>
            <w:vAlign w:val="bottom"/>
            <w:gridSpan w:val="6"/>
          </w:tcPr>
          <w:p>
            <w:pPr>
              <w:ind w:left="440"/>
              <w:spacing w:after="0"/>
              <w:rPr>
                <w:sz w:val="20"/>
                <w:szCs w:val="20"/>
                <w:color w:val="auto"/>
              </w:rPr>
            </w:pPr>
            <w:r>
              <w:rPr>
                <w:rFonts w:ascii="Arial" w:cs="Arial" w:eastAsia="Arial" w:hAnsi="Arial"/>
                <w:sz w:val="14"/>
                <w:szCs w:val="14"/>
                <w:b w:val="1"/>
                <w:bCs w:val="1"/>
                <w:color w:val="auto"/>
              </w:rPr>
              <w:t>For the Three Months Ended June 30,</w:t>
            </w:r>
          </w:p>
        </w:tc>
        <w:tc>
          <w:tcPr>
            <w:tcW w:w="2880" w:type="dxa"/>
            <w:vAlign w:val="bottom"/>
            <w:gridSpan w:val="5"/>
          </w:tcPr>
          <w:p>
            <w:pPr>
              <w:jc w:val="center"/>
              <w:ind w:left="642"/>
              <w:spacing w:after="0"/>
              <w:rPr>
                <w:sz w:val="20"/>
                <w:szCs w:val="20"/>
                <w:color w:val="auto"/>
              </w:rPr>
            </w:pPr>
            <w:r>
              <w:rPr>
                <w:rFonts w:ascii="Arial" w:cs="Arial" w:eastAsia="Arial" w:hAnsi="Arial"/>
                <w:sz w:val="14"/>
                <w:szCs w:val="14"/>
                <w:b w:val="1"/>
                <w:bCs w:val="1"/>
                <w:color w:val="auto"/>
                <w:w w:val="92"/>
              </w:rPr>
              <w:t>For the Six Months Ended June 30,</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080" w:type="dxa"/>
            <w:vAlign w:val="bottom"/>
            <w:vMerge w:val="continue"/>
          </w:tcPr>
          <w:p>
            <w:pPr>
              <w:spacing w:after="0"/>
              <w:rPr>
                <w:sz w:val="18"/>
                <w:szCs w:val="18"/>
                <w:color w:val="auto"/>
              </w:rPr>
            </w:pPr>
          </w:p>
        </w:tc>
        <w:tc>
          <w:tcPr>
            <w:tcW w:w="112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2021</w:t>
            </w:r>
          </w:p>
        </w:tc>
        <w:tc>
          <w:tcPr>
            <w:tcW w:w="800" w:type="dxa"/>
            <w:vAlign w:val="bottom"/>
            <w:tcBorders>
              <w:top w:val="single" w:sz="8" w:color="auto"/>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8"/>
                <w:szCs w:val="18"/>
                <w:color w:val="auto"/>
              </w:rPr>
            </w:pPr>
          </w:p>
        </w:tc>
        <w:tc>
          <w:tcPr>
            <w:tcW w:w="1640" w:type="dxa"/>
            <w:vAlign w:val="bottom"/>
            <w:tcBorders>
              <w:top w:val="single" w:sz="8" w:color="auto"/>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80" w:type="dxa"/>
            <w:vAlign w:val="bottom"/>
            <w:vMerge w:val="restart"/>
          </w:tcPr>
          <w:p>
            <w:pPr>
              <w:ind w:left="140"/>
              <w:spacing w:after="0"/>
              <w:rPr>
                <w:sz w:val="20"/>
                <w:szCs w:val="20"/>
                <w:color w:val="auto"/>
              </w:rPr>
            </w:pPr>
            <w:r>
              <w:rPr>
                <w:rFonts w:ascii="Arial" w:cs="Arial" w:eastAsia="Arial" w:hAnsi="Arial"/>
                <w:sz w:val="16"/>
                <w:szCs w:val="16"/>
                <w:b w:val="1"/>
                <w:bCs w:val="1"/>
                <w:color w:val="auto"/>
                <w:w w:val="92"/>
              </w:rPr>
              <w:t>Reconciliations of Non-GAAP EBIT to Net income/(loss)</w:t>
            </w:r>
          </w:p>
        </w:tc>
        <w:tc>
          <w:tcPr>
            <w:tcW w:w="12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RMB</w:t>
            </w:r>
          </w:p>
        </w:tc>
        <w:tc>
          <w:tcPr>
            <w:tcW w:w="12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RMB</w:t>
            </w:r>
          </w:p>
        </w:tc>
        <w:tc>
          <w:tcPr>
            <w:tcW w:w="1000" w:type="dxa"/>
            <w:vAlign w:val="bottom"/>
            <w:gridSpan w:val="2"/>
          </w:tcPr>
          <w:p>
            <w:pPr>
              <w:ind w:left="260"/>
              <w:spacing w:after="0"/>
              <w:rPr>
                <w:sz w:val="20"/>
                <w:szCs w:val="20"/>
                <w:color w:val="auto"/>
              </w:rPr>
            </w:pPr>
            <w:r>
              <w:rPr>
                <w:rFonts w:ascii="Arial" w:cs="Arial" w:eastAsia="Arial" w:hAnsi="Arial"/>
                <w:sz w:val="14"/>
                <w:szCs w:val="14"/>
                <w:b w:val="1"/>
                <w:bCs w:val="1"/>
                <w:color w:val="auto"/>
              </w:rPr>
              <w:t>US$</w:t>
            </w:r>
          </w:p>
        </w:tc>
        <w:tc>
          <w:tcPr>
            <w:tcW w:w="12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RMB</w:t>
            </w:r>
          </w:p>
        </w:tc>
        <w:tc>
          <w:tcPr>
            <w:tcW w:w="16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rPr>
              <w:t>RMB</w:t>
            </w: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US$</w:t>
            </w:r>
          </w:p>
        </w:tc>
        <w:tc>
          <w:tcPr>
            <w:tcW w:w="0" w:type="dxa"/>
            <w:vAlign w:val="bottom"/>
          </w:tcPr>
          <w:p>
            <w:pPr>
              <w:spacing w:after="0"/>
              <w:rPr>
                <w:sz w:val="1"/>
                <w:szCs w:val="1"/>
                <w:color w:val="auto"/>
              </w:rPr>
            </w:pPr>
          </w:p>
        </w:tc>
      </w:tr>
      <w:tr>
        <w:trPr>
          <w:trHeight w:val="198"/>
        </w:trPr>
        <w:tc>
          <w:tcPr>
            <w:tcW w:w="4080" w:type="dxa"/>
            <w:vAlign w:val="bottom"/>
            <w:vMerge w:val="continue"/>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Net income/(loss)</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419,036</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786,662</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121,839</w:t>
            </w: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(259,391)</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1,497,743</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231,972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80" w:type="dxa"/>
            <w:vAlign w:val="bottom"/>
          </w:tcPr>
          <w:p>
            <w:pPr>
              <w:ind w:left="140"/>
              <w:spacing w:after="0"/>
              <w:rPr>
                <w:sz w:val="20"/>
                <w:szCs w:val="20"/>
                <w:color w:val="auto"/>
              </w:rPr>
            </w:pPr>
            <w:r>
              <w:rPr>
                <w:rFonts w:ascii="Arial" w:cs="Arial" w:eastAsia="Arial" w:hAnsi="Arial"/>
                <w:sz w:val="16"/>
                <w:szCs w:val="16"/>
                <w:color w:val="auto"/>
              </w:rPr>
              <w:t>Add: Income tax expense/(benefit)</w:t>
            </w:r>
          </w:p>
        </w:tc>
        <w:tc>
          <w:tcPr>
            <w:tcW w:w="1120" w:type="dxa"/>
            <w:vAlign w:val="bottom"/>
          </w:tcPr>
          <w:p>
            <w:pPr>
              <w:jc w:val="right"/>
              <w:spacing w:after="0"/>
              <w:rPr>
                <w:sz w:val="20"/>
                <w:szCs w:val="20"/>
                <w:color w:val="auto"/>
              </w:rPr>
            </w:pPr>
            <w:r>
              <w:rPr>
                <w:rFonts w:ascii="Arial" w:cs="Arial" w:eastAsia="Arial" w:hAnsi="Arial"/>
                <w:sz w:val="16"/>
                <w:szCs w:val="16"/>
                <w:color w:val="auto"/>
              </w:rPr>
              <w:t>76,644</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151,059</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23,396</w:t>
            </w:r>
          </w:p>
        </w:tc>
        <w:tc>
          <w:tcPr>
            <w:tcW w:w="2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(48,303)</w:t>
            </w:r>
          </w:p>
        </w:tc>
        <w:tc>
          <w:tcPr>
            <w:tcW w:w="1120" w:type="dxa"/>
            <w:vAlign w:val="bottom"/>
          </w:tcPr>
          <w:p>
            <w:pPr>
              <w:jc w:val="right"/>
              <w:spacing w:after="0"/>
              <w:rPr>
                <w:sz w:val="20"/>
                <w:szCs w:val="20"/>
                <w:color w:val="auto"/>
              </w:rPr>
            </w:pPr>
            <w:r>
              <w:rPr>
                <w:rFonts w:ascii="Arial" w:cs="Arial" w:eastAsia="Arial" w:hAnsi="Arial"/>
                <w:sz w:val="16"/>
                <w:szCs w:val="16"/>
                <w:color w:val="auto"/>
              </w:rPr>
              <w:t>282,316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43,725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Share-based compensation expenses</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48,265</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43,969</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6,810</w:t>
            </w: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102,999</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92,482</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80" w:type="dxa"/>
            <w:vAlign w:val="bottom"/>
          </w:tcPr>
          <w:p>
            <w:pPr>
              <w:ind w:left="140"/>
              <w:spacing w:after="0"/>
              <w:rPr>
                <w:sz w:val="20"/>
                <w:szCs w:val="20"/>
                <w:color w:val="auto"/>
              </w:rPr>
            </w:pPr>
            <w:r>
              <w:rPr>
                <w:rFonts w:ascii="Arial" w:cs="Arial" w:eastAsia="Arial" w:hAnsi="Arial"/>
                <w:sz w:val="16"/>
                <w:szCs w:val="16"/>
                <w:color w:val="auto"/>
              </w:rPr>
              <w:t>Interest expense, net</w:t>
            </w:r>
          </w:p>
        </w:tc>
        <w:tc>
          <w:tcPr>
            <w:tcW w:w="1120" w:type="dxa"/>
            <w:vAlign w:val="bottom"/>
          </w:tcPr>
          <w:p>
            <w:pPr>
              <w:jc w:val="right"/>
              <w:spacing w:after="0"/>
              <w:rPr>
                <w:sz w:val="20"/>
                <w:szCs w:val="20"/>
                <w:color w:val="auto"/>
              </w:rPr>
            </w:pPr>
            <w:r>
              <w:rPr>
                <w:rFonts w:ascii="Arial" w:cs="Arial" w:eastAsia="Arial" w:hAnsi="Arial"/>
                <w:sz w:val="16"/>
                <w:szCs w:val="16"/>
                <w:color w:val="auto"/>
              </w:rPr>
              <w:t>23,713</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16,661</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2,580</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36,018</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36,350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5,630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Investment (income)/loss</w:t>
            </w: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(26,880)</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2,208</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342</w:t>
            </w: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(10,614)</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2,397</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080" w:type="dxa"/>
            <w:vAlign w:val="bottom"/>
          </w:tcPr>
          <w:p>
            <w:pPr>
              <w:ind w:left="140"/>
              <w:spacing w:after="0"/>
              <w:rPr>
                <w:sz w:val="20"/>
                <w:szCs w:val="20"/>
                <w:color w:val="auto"/>
              </w:rPr>
            </w:pPr>
            <w:r>
              <w:rPr>
                <w:rFonts w:ascii="Arial" w:cs="Arial" w:eastAsia="Arial" w:hAnsi="Arial"/>
                <w:sz w:val="16"/>
                <w:szCs w:val="16"/>
                <w:b w:val="1"/>
                <w:bCs w:val="1"/>
                <w:color w:val="auto"/>
              </w:rPr>
              <w:t>Non-GAAP EBIT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540,778</w:t>
            </w:r>
          </w:p>
        </w:tc>
        <w:tc>
          <w:tcPr>
            <w:tcW w:w="10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1,000,559</w:t>
            </w:r>
          </w:p>
        </w:tc>
        <w:tc>
          <w:tcPr>
            <w:tcW w:w="10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154,967</w:t>
            </w:r>
          </w:p>
        </w:tc>
        <w:tc>
          <w:tcPr>
            <w:tcW w:w="20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(179,291)</w:t>
            </w:r>
          </w:p>
        </w:tc>
        <w:tc>
          <w:tcPr>
            <w:tcW w:w="12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1,911,288</w:t>
            </w:r>
          </w:p>
        </w:tc>
        <w:tc>
          <w:tcPr>
            <w:tcW w:w="100" w:type="dxa"/>
            <w:vAlign w:val="bottom"/>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296,021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13</w:t>
      </w:r>
      <w:r>
        <w:rPr>
          <w:rFonts w:ascii="Arial" w:cs="Arial" w:eastAsia="Arial" w:hAnsi="Arial"/>
          <w:sz w:val="16"/>
          <w:szCs w:val="16"/>
          <w:color w:val="auto"/>
        </w:rPr>
        <w:t xml:space="preserve"> of </w:t>
      </w:r>
      <w:r>
        <w:rPr>
          <w:rFonts w:ascii="Arial" w:cs="Arial" w:eastAsia="Arial" w:hAnsi="Arial"/>
          <w:sz w:val="16"/>
          <w:szCs w:val="16"/>
          <w:b w:val="1"/>
          <w:bCs w:val="1"/>
          <w:color w:val="auto"/>
        </w:rPr>
        <w:t>13</w:t>
      </w:r>
    </w:p>
    <w:sectPr>
      <w:pgSz w:w="11900" w:h="16838" w:orient="portrait"/>
      <w:cols w:equalWidth="0" w:num="1">
        <w:col w:w="11240"/>
      </w:cols>
      <w:pgMar w:left="320" w:top="32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bullet"/>
      <w:start w:val="1"/>
    </w:lvl>
  </w:abstractNum>
  <w:abstractNum w:abstractNumId="1">
    <w:nsid w:val="5BD062C2"/>
    <w:multiLevelType w:val="hybridMultilevel"/>
    <w:lvl w:ilvl="0">
      <w:lvlJc w:val="left"/>
      <w:lvlText w:val="2"/>
      <w:numFmt w:val="bullet"/>
      <w:start w:val="1"/>
    </w:lvl>
  </w:abstractNum>
  <w:abstractNum w:abstractNumId="2">
    <w:nsid w:val="12200854"/>
    <w:multiLevelType w:val="hybridMultilevel"/>
    <w:lvl w:ilvl="0">
      <w:lvlJc w:val="left"/>
      <w:lvlText w:val="3"/>
      <w:numFmt w:val="bullet"/>
      <w:start w:val="1"/>
    </w:lvl>
  </w:abstractNum>
  <w:abstractNum w:abstractNumId="3">
    <w:nsid w:val="4DB127F8"/>
    <w:multiLevelType w:val="hybridMultilevel"/>
    <w:lvl w:ilvl="0">
      <w:lvlJc w:val="left"/>
      <w:lvlText w:val="4"/>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5"/>
      <w:numFmt w:val="bullet"/>
      <w:start w:val="1"/>
    </w:lvl>
  </w:abstractNum>
  <w:abstractNum w:abstractNumId="10">
    <w:nsid w:val="109CF92E"/>
    <w:multiLevelType w:val="hybridMultilevel"/>
    <w:lvl w:ilvl="0">
      <w:lvlJc w:val="left"/>
      <w:lvlText w:val="6"/>
      <w:numFmt w:val="bullet"/>
      <w:start w:val="1"/>
    </w:lvl>
  </w:abstractNum>
  <w:abstractNum w:abstractNumId="11">
    <w:nsid w:val="DED7263"/>
    <w:multiLevelType w:val="hybridMultilevel"/>
    <w:lvl w:ilvl="0">
      <w:lvlJc w:val="left"/>
      <w:lvlText w:val="7"/>
      <w:numFmt w:val="bullet"/>
      <w:start w:val="1"/>
    </w:lvl>
  </w:abstractNum>
  <w:abstractNum w:abstractNumId="12">
    <w:nsid w:val="7FDCC233"/>
    <w:multiLevelType w:val="hybridMultilevel"/>
    <w:lvl w:ilvl="0">
      <w:lvlJc w:val="left"/>
      <w:lvlText w:val="8"/>
      <w:numFmt w:val="bullet"/>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9"/>
      <w:numFmt w:val="bullet"/>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2021-08-25T07:08:56Z</dcterms:created>
  <dcterms:modified xsi:type="dcterms:W3CDTF">2021-08-25T07:08:56Z</dcterms:modified>
</cp:coreProperties>
</file>