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Qiao Zhanwen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27/F CES TOWER</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3099 KEYUAN SOUTH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SHENZHEN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518057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LexinFintech Holdings Ltd.</w:t>
              </w:r>
            </w:hyperlink>
            <w:r>
              <w:rPr/>
              <w:t xml:space="preserve"> [ </w:t>
            </w:r>
            <w:r>
              <w:rPr>
                <w:rFonts w:ascii="Times;serif" w:hAnsi="Times;serif"/>
                <w:color w:val="0000FF"/>
                <w:sz w:val="24"/>
                <w:shd w:fill="FFFFFF" w:val="clear"/>
              </w:rPr>
              <w:t>LX</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Risk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14"/>
        <w:gridCol w:w="1965"/>
        <w:gridCol w:w="1170"/>
        <w:gridCol w:w="2656"/>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14"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70"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1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ordinary shares</w:t>
            </w:r>
            <w:r>
              <w:rPr>
                <w:rFonts w:ascii="Times;serif" w:hAnsi="Times;serif"/>
                <w:color w:val="008000"/>
                <w:position w:val="7"/>
                <w:sz w:val="16"/>
                <w:sz w:val="20"/>
                <w:shd w:fill="FFFFFF" w:val="clear"/>
              </w:rPr>
              <w:t>(1)</w:t>
            </w:r>
            <w:r>
              <w:rPr/>
              <w:t xml:space="preserve"> </w:t>
            </w:r>
          </w:p>
        </w:tc>
        <w:tc>
          <w:tcPr>
            <w:tcW w:w="1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1,050,000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45"/>
        <w:gridCol w:w="1221"/>
        <w:gridCol w:w="1125"/>
        <w:gridCol w:w="1230"/>
        <w:gridCol w:w="1143"/>
        <w:gridCol w:w="1259"/>
        <w:gridCol w:w="1220"/>
        <w:gridCol w:w="1362"/>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7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12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Acquired upon vesting of restricted shares units and held in the form of American depositary shares, each representing two Class A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restricted share units were granted on January 29, 2024 and will vest on December 1, 2026 and 2027 in equal installments. They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share unit represents contingent rights to receive one Class A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restricted share units were granted on January 26, 2025 and will vest in equal installments on January 26, 2027, 2028 and 2029. They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restricted share units were granted on February 13, 2026 and will vest in equal installments on February 13, 2027, 2028, 2029 and 2030. They do not have an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Zhanwen Qiao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13413" TargetMode="External"/><Relationship Id="rId3" Type="http://schemas.openxmlformats.org/officeDocument/2006/relationships/hyperlink" Target="http://www.sec.gov/cgi-bin/browse-edgar?action=getcompany&amp;CIK=000170825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558</Words>
  <Characters>2972</Characters>
  <CharactersWithSpaces>3470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