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04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047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Long Annabelle Yu</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8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LexinFintech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27/F CES TOWER</w:t>
            </w:r>
          </w:p>
        </w:tc>
        <w:tc>
          <w:tcPr>
            <w:tcW w:w="128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NO. 3099 KEYUAN SOUTH ROAD</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SHENZHEN</w:t>
            </w:r>
          </w:p>
        </w:tc>
        <w:tc>
          <w:tcPr>
            <w:tcW w:w="128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518057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65,000</w:t>
            </w:r>
          </w:p>
        </w:tc>
        <w:tc>
          <w:tcPr>
            <w:tcW w:w="8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760" w:type="dxa"/>
            <w:vAlign w:val="bottom"/>
          </w:tcPr>
          <w:p>
            <w:pPr>
              <w:jc w:val="center"/>
              <w:ind w:left="12"/>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45,000</w:t>
            </w:r>
          </w:p>
        </w:tc>
        <w:tc>
          <w:tcPr>
            <w:tcW w:w="4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ind w:left="12"/>
              <w:spacing w:after="0"/>
              <w:rPr>
                <w:sz w:val="20"/>
                <w:szCs w:val="20"/>
                <w:color w:val="auto"/>
              </w:rPr>
            </w:pPr>
            <w:r>
              <w:rPr>
                <w:rFonts w:ascii="Times New Roman" w:cs="Times New Roman" w:eastAsia="Times New Roman" w:hAnsi="Times New Roman"/>
                <w:sz w:val="20"/>
                <w:szCs w:val="20"/>
                <w:color w:val="0000FF"/>
                <w:w w:val="99"/>
              </w:rPr>
              <w:t>shares</w:t>
            </w:r>
          </w:p>
        </w:tc>
        <w:tc>
          <w:tcPr>
            <w:tcW w:w="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760" w:type="dxa"/>
            <w:vAlign w:val="bottom"/>
          </w:tcPr>
          <w:p>
            <w:pPr>
              <w:jc w:val="center"/>
              <w:ind w:left="12"/>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60,000</w:t>
            </w:r>
          </w:p>
        </w:tc>
        <w:tc>
          <w:tcPr>
            <w:tcW w:w="4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ind w:left="12"/>
              <w:spacing w:after="0"/>
              <w:rPr>
                <w:sz w:val="20"/>
                <w:szCs w:val="20"/>
                <w:color w:val="auto"/>
              </w:rPr>
            </w:pPr>
            <w:r>
              <w:rPr>
                <w:rFonts w:ascii="Times New Roman" w:cs="Times New Roman" w:eastAsia="Times New Roman" w:hAnsi="Times New Roman"/>
                <w:sz w:val="20"/>
                <w:szCs w:val="20"/>
                <w:color w:val="0000FF"/>
                <w:w w:val="99"/>
              </w:rPr>
              <w:t>shares</w:t>
            </w:r>
          </w:p>
        </w:tc>
        <w:tc>
          <w:tcPr>
            <w:tcW w:w="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Acquired upon vesting of restricted shares units and held in the form of American depositary shares, each representing two Class A ordinary shares.</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 were granted on August 18, 2024 and will vest in equal installments on August 18, 2026, 2027 and 2028. They do not have an expiration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share unit represents contingent rights to receive one Class A ordinary share.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 were granted on March 18, 2026 and will vest in equal installments on August 18, 2029, 2030, 2031 and 2032. They do not have an expiration date.</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Annabelle Yu Long</w:t>
            </w:r>
          </w:p>
        </w:tc>
        <w:tc>
          <w:tcPr>
            <w:tcW w:w="4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62661" TargetMode="External"/><Relationship Id="rId11" Type="http://schemas.openxmlformats.org/officeDocument/2006/relationships/hyperlink" Target="http://www.sec.gov/cgi-bin/browse-edgar?action=getcompany&amp;CIK=00017082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2026-03-18T07:50:07Z</dcterms:created>
  <dcterms:modified xsi:type="dcterms:W3CDTF">2026-03-18T07:50:07Z</dcterms:modified>
</cp:coreProperties>
</file>